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1DB7" w:rsidRPr="00AF3358" w14:paraId="492689EA" w14:textId="77777777" w:rsidTr="00631DB7">
        <w:tc>
          <w:tcPr>
            <w:tcW w:w="9016" w:type="dxa"/>
          </w:tcPr>
          <w:p w14:paraId="41AA9BC4" w14:textId="77777777" w:rsidR="00631DB7" w:rsidRPr="00AF3358" w:rsidRDefault="00631DB7" w:rsidP="00631DB7">
            <w:pPr>
              <w:ind w:left="311" w:hanging="311"/>
              <w:rPr>
                <w:rFonts w:asciiTheme="minorBidi" w:hAnsiTheme="minorBidi"/>
                <w:b/>
                <w:bCs/>
              </w:rPr>
            </w:pPr>
            <w:r w:rsidRPr="00AF3358">
              <w:rPr>
                <w:rFonts w:asciiTheme="minorBidi" w:hAnsiTheme="minorBidi"/>
                <w:b/>
                <w:bCs/>
              </w:rPr>
              <w:t xml:space="preserve">4. </w:t>
            </w:r>
            <w:r w:rsidRPr="00AF3358">
              <w:rPr>
                <w:rFonts w:asciiTheme="minorBidi" w:hAnsiTheme="minorBidi" w:hint="cs"/>
                <w:b/>
                <w:bCs/>
                <w:cs/>
              </w:rPr>
              <w:t xml:space="preserve"> ผลกระทบที่เกิดขึ้นจากการแปลงสภาพกองทุนรวมอสังหาริมทรัพย์เป็นกองทรัสต์ต่อกองทุนรวม อสังหาริมทรัพย์และผู้ถือหน่วยลงทุนของกองทุนรวมอสังหาริมทรัพย์ที่จะเป็นผู้ถือหน่วยทรัสต์</w:t>
            </w:r>
          </w:p>
        </w:tc>
      </w:tr>
    </w:tbl>
    <w:p w14:paraId="16A78AF1" w14:textId="77777777" w:rsidR="00CE0113" w:rsidRPr="00AF3358" w:rsidRDefault="00CE0113" w:rsidP="00CE0113">
      <w:pPr>
        <w:rPr>
          <w:rFonts w:asciiTheme="minorBidi" w:hAnsiTheme="minorBidi"/>
        </w:rPr>
      </w:pPr>
      <w:r w:rsidRPr="00AF3358">
        <w:rPr>
          <w:rFonts w:asciiTheme="minorBidi" w:hAnsiTheme="minorBidi"/>
          <w:cs/>
        </w:rPr>
        <w:tab/>
      </w:r>
    </w:p>
    <w:p w14:paraId="63DD7273" w14:textId="7950733E" w:rsidR="00CE0113" w:rsidRPr="00AF3358" w:rsidRDefault="00CE0113" w:rsidP="007254A3">
      <w:pPr>
        <w:ind w:left="426" w:firstLine="567"/>
        <w:rPr>
          <w:rFonts w:asciiTheme="minorBidi" w:hAnsiTheme="minorBidi"/>
        </w:rPr>
      </w:pPr>
      <w:r w:rsidRPr="00AF3358">
        <w:rPr>
          <w:rFonts w:asciiTheme="minorBidi" w:hAnsiTheme="minorBidi"/>
          <w:cs/>
        </w:rPr>
        <w:t xml:space="preserve">การแปลงสภาพกองทุนรวม </w:t>
      </w:r>
      <w:r w:rsidR="00A03F33" w:rsidRPr="00AF3358">
        <w:rPr>
          <w:rFonts w:asciiTheme="minorBidi" w:hAnsiTheme="minorBidi"/>
        </w:rPr>
        <w:t>BKKCP</w:t>
      </w:r>
      <w:r w:rsidRPr="00AF3358">
        <w:rPr>
          <w:rFonts w:asciiTheme="minorBidi" w:hAnsiTheme="minorBidi"/>
        </w:rPr>
        <w:t xml:space="preserve"> </w:t>
      </w:r>
      <w:r w:rsidRPr="00AF3358">
        <w:rPr>
          <w:rFonts w:asciiTheme="minorBidi" w:hAnsiTheme="minorBidi"/>
          <w:cs/>
        </w:rPr>
        <w:t xml:space="preserve">เป็นกองทรัสต์ </w:t>
      </w:r>
      <w:r w:rsidR="00A03F33" w:rsidRPr="00AF3358">
        <w:rPr>
          <w:rFonts w:asciiTheme="minorBidi" w:hAnsiTheme="minorBidi"/>
        </w:rPr>
        <w:t>ISSARA</w:t>
      </w:r>
      <w:r w:rsidRPr="00AF3358">
        <w:rPr>
          <w:rFonts w:asciiTheme="minorBidi" w:hAnsiTheme="minorBidi"/>
        </w:rPr>
        <w:t xml:space="preserve"> </w:t>
      </w:r>
      <w:r w:rsidRPr="00AF3358">
        <w:rPr>
          <w:rFonts w:asciiTheme="minorBidi" w:hAnsiTheme="minorBidi"/>
          <w:cs/>
        </w:rPr>
        <w:t>จะมีผลกระทบด้านภาระภาษีต่อกองทรัสต์และผู้ถือหน่วยทรัสต์ ซึ่งสามารถสรุปได้ดังนี้</w:t>
      </w:r>
    </w:p>
    <w:p w14:paraId="417C84DD" w14:textId="77777777" w:rsidR="00CE0113" w:rsidRPr="00AF3358" w:rsidRDefault="00CE0113" w:rsidP="00CE0113">
      <w:pPr>
        <w:rPr>
          <w:rFonts w:asciiTheme="minorBidi" w:hAnsiTheme="minorBidi"/>
        </w:rPr>
      </w:pPr>
    </w:p>
    <w:p w14:paraId="6101D904" w14:textId="32A6241E" w:rsidR="00CE0113" w:rsidRPr="00AF3358" w:rsidRDefault="00403657" w:rsidP="003263F8">
      <w:pPr>
        <w:pStyle w:val="Heading1"/>
      </w:pPr>
      <w:r w:rsidRPr="00AF3358">
        <w:rPr>
          <w:rFonts w:cs="Cordia New"/>
          <w:cs/>
        </w:rPr>
        <w:t>ภาระภาษีของกองทุนรวม และกองทรัสต์</w:t>
      </w:r>
    </w:p>
    <w:p w14:paraId="2686F466" w14:textId="754BD728" w:rsidR="003263F8" w:rsidRPr="00AF3358" w:rsidRDefault="00CE0113" w:rsidP="007254A3">
      <w:pPr>
        <w:spacing w:after="240"/>
        <w:ind w:left="425" w:firstLine="505"/>
        <w:rPr>
          <w:rFonts w:asciiTheme="minorBidi" w:hAnsiTheme="minorBidi"/>
        </w:rPr>
      </w:pPr>
      <w:r w:rsidRPr="00AF3358">
        <w:rPr>
          <w:rFonts w:asciiTheme="minorBidi" w:hAnsiTheme="minorBidi"/>
          <w:cs/>
        </w:rPr>
        <w:t xml:space="preserve">การแปลงสภาพกองทุนรวม </w:t>
      </w:r>
      <w:r w:rsidR="00A03F33" w:rsidRPr="00AF3358">
        <w:rPr>
          <w:rFonts w:asciiTheme="minorBidi" w:hAnsiTheme="minorBidi"/>
        </w:rPr>
        <w:t>BKKCP</w:t>
      </w:r>
      <w:r w:rsidRPr="00AF3358">
        <w:rPr>
          <w:rFonts w:asciiTheme="minorBidi" w:hAnsiTheme="minorBidi"/>
        </w:rPr>
        <w:t xml:space="preserve"> </w:t>
      </w:r>
      <w:r w:rsidRPr="00AF3358">
        <w:rPr>
          <w:rFonts w:asciiTheme="minorBidi" w:hAnsiTheme="minorBidi"/>
          <w:cs/>
        </w:rPr>
        <w:t xml:space="preserve">เป็นกองทรัสต์ </w:t>
      </w:r>
      <w:r w:rsidR="00A03F33" w:rsidRPr="00AF3358">
        <w:rPr>
          <w:rFonts w:asciiTheme="minorBidi" w:hAnsiTheme="minorBidi"/>
        </w:rPr>
        <w:t>ISSARA</w:t>
      </w:r>
      <w:r w:rsidRPr="00AF3358">
        <w:rPr>
          <w:rFonts w:asciiTheme="minorBidi" w:hAnsiTheme="minorBidi"/>
          <w:cs/>
        </w:rPr>
        <w:t xml:space="preserve"> </w:t>
      </w:r>
      <w:r w:rsidR="005712C0" w:rsidRPr="00AF3358">
        <w:rPr>
          <w:rFonts w:asciiTheme="minorBidi" w:hAnsiTheme="minorBidi"/>
          <w:cs/>
        </w:rPr>
        <w:t>จะทำให้กองทรัสต์</w:t>
      </w:r>
      <w:r w:rsidR="00900837" w:rsidRPr="00AF3358">
        <w:rPr>
          <w:rFonts w:asciiTheme="minorBidi" w:hAnsiTheme="minorBidi" w:hint="cs"/>
          <w:cs/>
        </w:rPr>
        <w:t xml:space="preserve"> </w:t>
      </w:r>
      <w:r w:rsidR="00900837" w:rsidRPr="00AF3358">
        <w:rPr>
          <w:rFonts w:asciiTheme="minorBidi" w:hAnsiTheme="minorBidi"/>
        </w:rPr>
        <w:t>ISSARA</w:t>
      </w:r>
      <w:r w:rsidR="00900837" w:rsidRPr="00AF3358">
        <w:rPr>
          <w:rFonts w:asciiTheme="minorBidi" w:hAnsiTheme="minorBidi"/>
          <w:cs/>
        </w:rPr>
        <w:t xml:space="preserve"> </w:t>
      </w:r>
      <w:r w:rsidR="005712C0" w:rsidRPr="00AF3358">
        <w:rPr>
          <w:rFonts w:asciiTheme="minorBidi" w:hAnsiTheme="minorBidi"/>
          <w:cs/>
        </w:rPr>
        <w:t>มีภาระภาษี</w:t>
      </w:r>
      <w:r w:rsidR="0045625B" w:rsidRPr="00AF3358">
        <w:rPr>
          <w:rFonts w:asciiTheme="minorBidi" w:hAnsiTheme="minorBidi"/>
        </w:rPr>
        <w:br/>
      </w:r>
      <w:r w:rsidR="005712C0" w:rsidRPr="00AF3358">
        <w:rPr>
          <w:rFonts w:asciiTheme="minorBidi" w:hAnsiTheme="minorBidi"/>
          <w:cs/>
        </w:rPr>
        <w:t>ต่างจากกองทุนรวม</w:t>
      </w:r>
      <w:r w:rsidR="00900837" w:rsidRPr="00AF3358">
        <w:rPr>
          <w:rFonts w:asciiTheme="minorBidi" w:hAnsiTheme="minorBidi"/>
        </w:rPr>
        <w:t xml:space="preserve"> BKKCP</w:t>
      </w:r>
      <w:r w:rsidR="005712C0" w:rsidRPr="00AF3358">
        <w:rPr>
          <w:rFonts w:asciiTheme="minorBidi" w:hAnsiTheme="minorBidi"/>
          <w:cs/>
        </w:rPr>
        <w:t xml:space="preserve"> โดยมีรายละเอียดดังนี้</w:t>
      </w:r>
    </w:p>
    <w:tbl>
      <w:tblPr>
        <w:tblW w:w="4552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737"/>
        <w:gridCol w:w="2735"/>
      </w:tblGrid>
      <w:tr w:rsidR="003208EF" w:rsidRPr="00AF3358" w14:paraId="77B42FDA" w14:textId="77777777" w:rsidTr="00A95BB7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5B34260" w14:textId="77777777" w:rsidR="003208EF" w:rsidRPr="00AF3358" w:rsidRDefault="003208EF" w:rsidP="003208E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ภาระภาษี/</w:t>
            </w:r>
            <w:r w:rsidRPr="00AF3358"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  <w:br/>
            </w: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ประเภทภาษี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9062A48" w14:textId="77777777" w:rsidR="003208EF" w:rsidRPr="00AF3358" w:rsidRDefault="003208EF" w:rsidP="003208E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กองทุนรวมอสังหาริมทรัพย์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C90BD20" w14:textId="77777777" w:rsidR="003208EF" w:rsidRPr="00AF3358" w:rsidRDefault="003208EF" w:rsidP="003208E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ทรัสต์เพื่อการลงทุนในอสังหาริมทรัพย์</w:t>
            </w:r>
          </w:p>
        </w:tc>
      </w:tr>
      <w:tr w:rsidR="003208EF" w:rsidRPr="00AF3358" w14:paraId="3BF5C990" w14:textId="77777777" w:rsidTr="00A95BB7">
        <w:tc>
          <w:tcPr>
            <w:tcW w:w="1667" w:type="pct"/>
            <w:shd w:val="clear" w:color="auto" w:fill="auto"/>
          </w:tcPr>
          <w:p w14:paraId="569CC1BB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ภาษีเงินได้นิติบุคคล (</w:t>
            </w:r>
            <w:r w:rsidRPr="00AF3358">
              <w:rPr>
                <w:rFonts w:eastAsia="Times New Roman"/>
                <w:color w:val="auto"/>
                <w:lang w:eastAsia="x-none"/>
                <w14:ligatures w14:val="none"/>
              </w:rPr>
              <w:t>CIT)</w:t>
            </w:r>
          </w:p>
        </w:tc>
        <w:tc>
          <w:tcPr>
            <w:tcW w:w="1667" w:type="pct"/>
            <w:shd w:val="clear" w:color="auto" w:fill="auto"/>
          </w:tcPr>
          <w:p w14:paraId="56C10B02" w14:textId="51AC555F" w:rsidR="00E774AB" w:rsidRPr="00AF3358" w:rsidRDefault="003208EF" w:rsidP="00195038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 เฉพาะรายได้ที่เป็นเงินได้ตาม</w:t>
            </w:r>
            <w:bookmarkStart w:id="0" w:name="_Hlk152318624"/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 xml:space="preserve">มาตรา </w:t>
            </w:r>
            <w:r w:rsidRPr="00AF3358">
              <w:rPr>
                <w:rFonts w:eastAsia="Times New Roman"/>
                <w:color w:val="auto"/>
                <w:lang w:eastAsia="x-none"/>
                <w14:ligatures w14:val="none"/>
              </w:rPr>
              <w:t xml:space="preserve">40 (4) </w:t>
            </w: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(ก)</w:t>
            </w:r>
            <w:bookmarkEnd w:id="0"/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*</w:t>
            </w:r>
          </w:p>
        </w:tc>
        <w:tc>
          <w:tcPr>
            <w:tcW w:w="1666" w:type="pct"/>
            <w:shd w:val="clear" w:color="auto" w:fill="auto"/>
          </w:tcPr>
          <w:p w14:paraId="46D03108" w14:textId="1993803F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 xml:space="preserve">ไม่เสีย </w:t>
            </w:r>
            <w:r w:rsidR="00900837" w:rsidRPr="00AF3358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เพราะ</w:t>
            </w:r>
            <w:r w:rsidR="00E774AB" w:rsidRPr="00AF3358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มีสถานะเป็นกองทรัพย์สิน</w:t>
            </w:r>
            <w:r w:rsidR="00900837" w:rsidRPr="00AF3358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 xml:space="preserve"> </w:t>
            </w: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ไม่ใช่</w:t>
            </w:r>
            <w:r w:rsidR="00E774AB" w:rsidRPr="00AF3358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นิติบุคคล</w:t>
            </w:r>
            <w:r w:rsidR="00D634BC" w:rsidRPr="00AF3358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 xml:space="preserve"> </w:t>
            </w:r>
            <w:r w:rsidR="00900837" w:rsidRPr="00AF3358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จึง</w:t>
            </w:r>
            <w:r w:rsidR="00D634BC" w:rsidRPr="00AF3358">
              <w:rPr>
                <w:rFonts w:eastAsia="Times New Roman" w:hint="cs"/>
                <w:color w:val="auto"/>
                <w:cs/>
                <w:lang w:eastAsia="x-none"/>
                <w14:ligatures w14:val="none"/>
              </w:rPr>
              <w:t>ไม่ใช่หน่วยภาษีตาม</w:t>
            </w:r>
            <w:r w:rsidR="00D634BC"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ประมวลรัษฎากร</w:t>
            </w:r>
          </w:p>
        </w:tc>
      </w:tr>
      <w:tr w:rsidR="003208EF" w:rsidRPr="00AF3358" w14:paraId="665134ED" w14:textId="77777777" w:rsidTr="00A95BB7">
        <w:tc>
          <w:tcPr>
            <w:tcW w:w="1667" w:type="pct"/>
            <w:shd w:val="clear" w:color="auto" w:fill="auto"/>
          </w:tcPr>
          <w:p w14:paraId="5F4261FE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ภาษีมูลค่าเพิ่ม (</w:t>
            </w:r>
            <w:r w:rsidRPr="00AF3358">
              <w:rPr>
                <w:rFonts w:eastAsia="Times New Roman"/>
                <w:color w:val="auto"/>
                <w:lang w:eastAsia="x-none"/>
                <w14:ligatures w14:val="none"/>
              </w:rPr>
              <w:t>VAT)</w:t>
            </w:r>
          </w:p>
        </w:tc>
        <w:tc>
          <w:tcPr>
            <w:tcW w:w="1667" w:type="pct"/>
          </w:tcPr>
          <w:p w14:paraId="10B62E75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  <w:tc>
          <w:tcPr>
            <w:tcW w:w="1666" w:type="pct"/>
            <w:shd w:val="clear" w:color="auto" w:fill="auto"/>
          </w:tcPr>
          <w:p w14:paraId="38210889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</w:tr>
      <w:tr w:rsidR="003208EF" w:rsidRPr="00AF3358" w14:paraId="5966F937" w14:textId="77777777" w:rsidTr="00A95BB7">
        <w:tc>
          <w:tcPr>
            <w:tcW w:w="1667" w:type="pct"/>
            <w:shd w:val="clear" w:color="auto" w:fill="auto"/>
          </w:tcPr>
          <w:p w14:paraId="54685B09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ภาษีธุรกิจเฉพาะ (</w:t>
            </w:r>
            <w:r w:rsidRPr="00AF3358">
              <w:rPr>
                <w:rFonts w:eastAsia="Times New Roman"/>
                <w:color w:val="auto"/>
                <w:lang w:eastAsia="x-none"/>
                <w14:ligatures w14:val="none"/>
              </w:rPr>
              <w:t>SBT)</w:t>
            </w:r>
          </w:p>
        </w:tc>
        <w:tc>
          <w:tcPr>
            <w:tcW w:w="1667" w:type="pct"/>
          </w:tcPr>
          <w:p w14:paraId="42795A89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  <w:tc>
          <w:tcPr>
            <w:tcW w:w="1666" w:type="pct"/>
            <w:shd w:val="clear" w:color="auto" w:fill="auto"/>
          </w:tcPr>
          <w:p w14:paraId="449313AF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</w:tr>
      <w:tr w:rsidR="003208EF" w:rsidRPr="00AF3358" w14:paraId="1459EF56" w14:textId="77777777" w:rsidTr="00A95BB7">
        <w:tc>
          <w:tcPr>
            <w:tcW w:w="1667" w:type="pct"/>
            <w:shd w:val="clear" w:color="auto" w:fill="auto"/>
          </w:tcPr>
          <w:p w14:paraId="5E73883F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อากรแสตมป์ (</w:t>
            </w:r>
            <w:r w:rsidRPr="00AF3358">
              <w:rPr>
                <w:rFonts w:eastAsia="Times New Roman"/>
                <w:color w:val="auto"/>
                <w:lang w:eastAsia="x-none"/>
                <w14:ligatures w14:val="none"/>
              </w:rPr>
              <w:t>SD)</w:t>
            </w:r>
          </w:p>
        </w:tc>
        <w:tc>
          <w:tcPr>
            <w:tcW w:w="1667" w:type="pct"/>
          </w:tcPr>
          <w:p w14:paraId="113ECDDA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  <w:tc>
          <w:tcPr>
            <w:tcW w:w="1666" w:type="pct"/>
            <w:shd w:val="clear" w:color="auto" w:fill="auto"/>
          </w:tcPr>
          <w:p w14:paraId="316BEC6D" w14:textId="77777777" w:rsidR="003208EF" w:rsidRPr="00AF3358" w:rsidRDefault="003208EF" w:rsidP="003208EF">
            <w:pPr>
              <w:autoSpaceDE/>
              <w:autoSpaceDN/>
              <w:adjustRightInd/>
              <w:spacing w:after="120" w:line="276" w:lineRule="auto"/>
              <w:ind w:left="0" w:firstLine="0"/>
              <w:jc w:val="center"/>
              <w:textAlignment w:val="center"/>
              <w:rPr>
                <w:rFonts w:eastAsia="Times New Roman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color w:val="auto"/>
                <w:cs/>
                <w:lang w:eastAsia="x-none"/>
                <w14:ligatures w14:val="none"/>
              </w:rPr>
              <w:t>เสียภาษี</w:t>
            </w:r>
          </w:p>
        </w:tc>
      </w:tr>
    </w:tbl>
    <w:p w14:paraId="5E0CE9A2" w14:textId="4B7C962D" w:rsidR="0027104A" w:rsidRPr="00AF3358" w:rsidRDefault="003208EF" w:rsidP="00C5582A">
      <w:pPr>
        <w:autoSpaceDE/>
        <w:autoSpaceDN/>
        <w:adjustRightInd/>
        <w:spacing w:before="240" w:line="276" w:lineRule="auto"/>
        <w:ind w:left="2250" w:hanging="1440"/>
        <w:rPr>
          <w:rFonts w:eastAsia="Calibri"/>
          <w:color w:val="auto"/>
          <w14:ligatures w14:val="none"/>
        </w:rPr>
      </w:pPr>
      <w:r w:rsidRPr="00AF3358">
        <w:rPr>
          <w:rFonts w:eastAsia="Calibri"/>
          <w:color w:val="auto"/>
          <w:u w:val="single"/>
          <w:cs/>
          <w14:ligatures w14:val="none"/>
        </w:rPr>
        <w:t>หมายเหตุ</w:t>
      </w:r>
      <w:r w:rsidRPr="00AF3358">
        <w:rPr>
          <w:rFonts w:eastAsia="Calibri"/>
          <w:color w:val="auto"/>
          <w14:ligatures w14:val="none"/>
        </w:rPr>
        <w:t>: *</w:t>
      </w:r>
      <w:r w:rsidRPr="00AF3358">
        <w:rPr>
          <w:rFonts w:eastAsia="Calibri"/>
          <w:color w:val="auto"/>
          <w14:ligatures w14:val="none"/>
        </w:rPr>
        <w:tab/>
      </w:r>
      <w:r w:rsidRPr="00AF3358">
        <w:rPr>
          <w:rFonts w:eastAsia="Calibri"/>
          <w:color w:val="auto"/>
          <w:cs/>
          <w14:ligatures w14:val="none"/>
        </w:rPr>
        <w:t xml:space="preserve">เงินได้ตามมาตรา </w:t>
      </w:r>
      <w:r w:rsidRPr="00AF3358">
        <w:rPr>
          <w:rFonts w:eastAsia="Calibri"/>
          <w:color w:val="auto"/>
          <w14:ligatures w14:val="none"/>
        </w:rPr>
        <w:t>40 (4) (</w:t>
      </w:r>
      <w:r w:rsidRPr="00AF3358">
        <w:rPr>
          <w:rFonts w:eastAsia="Calibri"/>
          <w:color w:val="auto"/>
          <w:cs/>
          <w14:ligatures w14:val="none"/>
        </w:rPr>
        <w:t>ก</w:t>
      </w:r>
      <w:r w:rsidRPr="00AF3358">
        <w:rPr>
          <w:rFonts w:eastAsia="Calibri"/>
          <w:color w:val="auto"/>
          <w14:ligatures w14:val="none"/>
        </w:rPr>
        <w:t xml:space="preserve">) </w:t>
      </w:r>
      <w:r w:rsidRPr="00AF3358">
        <w:rPr>
          <w:rFonts w:eastAsia="Calibri"/>
          <w:color w:val="auto"/>
          <w:cs/>
          <w14:ligatures w14:val="none"/>
        </w:rPr>
        <w:t>แห่งประมวลรัษฎากร ได้แก่ ดอกเบี้ยพันธบัตร ดอกเบี้ยเงินฝาก ดอกเบี้ยหุ้นกู้ ดอกเบี้ยตั๋วเงิน ดอกเบี้ยเงินกู้ยืมไม่ว่าจะมีหลักประกันหรือไม่ ดอกเบี้ยเงินกู้ยืมที่อยู่ในบังคับต้องถูกหักภาษีไว้ ณ ที่จ่ายตามกฎหมายว่าด้วยภาษีเงินได้</w:t>
      </w:r>
      <w:r w:rsidR="00900837" w:rsidRPr="00AF3358">
        <w:rPr>
          <w:rFonts w:eastAsia="Calibri"/>
          <w:color w:val="auto"/>
          <w:cs/>
          <w14:ligatures w14:val="none"/>
        </w:rPr>
        <w:t>ปิโตรเลียม</w:t>
      </w:r>
      <w:r w:rsidRPr="00AF3358">
        <w:rPr>
          <w:rFonts w:eastAsia="Calibri"/>
          <w:color w:val="auto"/>
          <w:cs/>
          <w14:ligatures w14:val="none"/>
        </w:rPr>
        <w:t xml:space="preserve">เฉพาะส่วนที่เหลือจากถูกหักภาษีไว้ ณ ที่จ่ายตามกฎหมายดังกล่าว หรือผลต่างระหว่างราคาไถ่ถอนกับราคาจำหน่ายตั๋วเงินหรือตราสารแสดงสิทธิในหนี้ที่บริษัทหรือห้างหุ้นส่วนนิติบุคคล หรือนิติบุคคลอื่นเป็นผู้ออกและจำหน่ายครั้งแรกในราคาต่ำกว่าราคาไถ่ถอน รวมทั้งเงินได้ที่มีลักษณะทำนองเดียวกันกับดอกเบี้ย ผลประโยชน์หรือค่าตอบแทนอื่น ๆ </w:t>
      </w:r>
      <w:r w:rsidR="00846C5C" w:rsidRPr="00AF3358">
        <w:rPr>
          <w:rFonts w:eastAsia="Calibri"/>
          <w:color w:val="auto"/>
          <w14:ligatures w14:val="none"/>
        </w:rPr>
        <w:br/>
      </w:r>
      <w:r w:rsidRPr="00AF3358">
        <w:rPr>
          <w:rFonts w:eastAsia="Calibri"/>
          <w:color w:val="auto"/>
          <w:cs/>
          <w14:ligatures w14:val="none"/>
        </w:rPr>
        <w:t>ที่ได้จากการให้กู้ยืม หรือจากสิทธิเรียกร้องในหนี้ทุกชนิด ไม่ว่าจะมีหลักประกันหรือไม่ก็ตาม</w:t>
      </w:r>
    </w:p>
    <w:p w14:paraId="0BF0B853" w14:textId="6E429EBB" w:rsidR="00883032" w:rsidRPr="00AF3358" w:rsidRDefault="00883032">
      <w:pPr>
        <w:autoSpaceDE/>
        <w:autoSpaceDN/>
        <w:adjustRightInd/>
        <w:spacing w:after="160" w:line="259" w:lineRule="auto"/>
        <w:ind w:left="0" w:firstLine="0"/>
        <w:jc w:val="left"/>
        <w:rPr>
          <w:rFonts w:asciiTheme="minorBidi" w:eastAsia="Times New Roman" w:hAnsiTheme="minorBidi" w:cstheme="minorBidi"/>
          <w:b/>
          <w:bCs/>
          <w:color w:val="auto"/>
          <w:cs/>
          <w:lang w:val="x-none" w:eastAsia="x-none"/>
          <w14:ligatures w14:val="none"/>
        </w:rPr>
      </w:pPr>
      <w:r w:rsidRPr="00AF3358">
        <w:rPr>
          <w:cs/>
        </w:rPr>
        <w:br w:type="page"/>
      </w:r>
    </w:p>
    <w:p w14:paraId="5D69E5B3" w14:textId="29430A59" w:rsidR="00C5582A" w:rsidRPr="00AF3358" w:rsidRDefault="00844375" w:rsidP="00C5582A">
      <w:pPr>
        <w:pStyle w:val="Heading1"/>
      </w:pPr>
      <w:r w:rsidRPr="00AF3358">
        <w:rPr>
          <w:rFonts w:cs="Cordia New"/>
          <w:cs/>
        </w:rPr>
        <w:lastRenderedPageBreak/>
        <w:t>ภาษีเกี่ยวกับการถือหน่วยลงทุนและการถือหน่วยทรัสต์</w:t>
      </w:r>
      <w:r w:rsidR="00CE0113" w:rsidRPr="00AF3358">
        <w:rPr>
          <w:cs/>
        </w:rPr>
        <w:t xml:space="preserve"> </w:t>
      </w:r>
    </w:p>
    <w:p w14:paraId="01252245" w14:textId="302B8445" w:rsidR="00C5582A" w:rsidRPr="00AF3358" w:rsidRDefault="00C5582A" w:rsidP="007254A3">
      <w:pPr>
        <w:spacing w:after="240"/>
        <w:ind w:left="425" w:firstLine="505"/>
        <w:rPr>
          <w:lang w:val="x-none" w:eastAsia="x-none"/>
        </w:rPr>
      </w:pPr>
      <w:r w:rsidRPr="00AF3358">
        <w:rPr>
          <w:rFonts w:asciiTheme="minorBidi" w:hAnsiTheme="minorBidi"/>
          <w:cs/>
        </w:rPr>
        <w:t xml:space="preserve">การแปลงสภาพกองทุนรวม </w:t>
      </w:r>
      <w:r w:rsidRPr="00AF3358">
        <w:rPr>
          <w:rFonts w:asciiTheme="minorBidi" w:hAnsiTheme="minorBidi"/>
        </w:rPr>
        <w:t xml:space="preserve">BKKCP </w:t>
      </w:r>
      <w:r w:rsidRPr="00AF3358">
        <w:rPr>
          <w:rFonts w:asciiTheme="minorBidi" w:hAnsiTheme="minorBidi"/>
          <w:cs/>
        </w:rPr>
        <w:t xml:space="preserve">เป็นกองทรัสต์ </w:t>
      </w:r>
      <w:r w:rsidRPr="00AF3358">
        <w:rPr>
          <w:rFonts w:asciiTheme="minorBidi" w:hAnsiTheme="minorBidi"/>
        </w:rPr>
        <w:t>ISSARA</w:t>
      </w:r>
      <w:r w:rsidRPr="00AF3358">
        <w:rPr>
          <w:rFonts w:asciiTheme="minorBidi" w:hAnsiTheme="minorBidi"/>
          <w:cs/>
        </w:rPr>
        <w:t xml:space="preserve"> จะทำให้ผู้ถือหน่วยลงทุนกลายมาเป็น</w:t>
      </w:r>
      <w:r w:rsidRPr="00AF3358">
        <w:rPr>
          <w:rFonts w:asciiTheme="minorBidi" w:hAnsiTheme="minorBidi"/>
        </w:rPr>
        <w:br/>
      </w:r>
      <w:r w:rsidRPr="00AF3358">
        <w:rPr>
          <w:rFonts w:asciiTheme="minorBidi" w:hAnsiTheme="minorBidi"/>
          <w:cs/>
        </w:rPr>
        <w:t>ผู้ถือหน่วยทรัสต์ ซึ่งมีภาษีเกี่ยวกับการถือหน่วยทรัสต์ต่างไปจากภาษีเกี่ยวกับการถือหน่วยลงทุน</w:t>
      </w:r>
    </w:p>
    <w:p w14:paraId="7B18A170" w14:textId="68A75866" w:rsidR="00CE0113" w:rsidRPr="00AF3358" w:rsidRDefault="00CE0113" w:rsidP="003263F8">
      <w:pPr>
        <w:pStyle w:val="Heading2"/>
        <w:numPr>
          <w:ilvl w:val="0"/>
          <w:numId w:val="12"/>
        </w:numPr>
      </w:pPr>
      <w:r w:rsidRPr="00AF3358">
        <w:rPr>
          <w:cs/>
        </w:rPr>
        <w:t>ภาระภาษีจากเงินปันผล</w:t>
      </w:r>
      <w:r w:rsidRPr="00AF3358">
        <w:t>/</w:t>
      </w:r>
      <w:r w:rsidRPr="00AF3358">
        <w:rPr>
          <w:cs/>
        </w:rPr>
        <w:t>ประโยชน์ตอบแทน</w:t>
      </w:r>
      <w:r w:rsidRPr="00AF3358">
        <w:rPr>
          <w:rStyle w:val="FootnoteReference"/>
          <w:rFonts w:eastAsia="Calibri"/>
          <w:cs/>
        </w:rPr>
        <w:footnoteReference w:id="2"/>
      </w:r>
    </w:p>
    <w:p w14:paraId="4AE9E8BC" w14:textId="107E207D" w:rsidR="00ED064F" w:rsidRPr="00AF3358" w:rsidRDefault="00C5582A" w:rsidP="007254A3">
      <w:pPr>
        <w:autoSpaceDE/>
        <w:autoSpaceDN/>
        <w:adjustRightInd/>
        <w:spacing w:after="120" w:line="276" w:lineRule="auto"/>
        <w:ind w:firstLine="720"/>
        <w:rPr>
          <w:rFonts w:eastAsia="Calibri"/>
          <w:color w:val="auto"/>
          <w14:ligatures w14:val="none"/>
        </w:rPr>
      </w:pPr>
      <w:r w:rsidRPr="00AF3358">
        <w:rPr>
          <w:rFonts w:eastAsia="Calibri" w:hint="cs"/>
          <w:color w:val="auto"/>
          <w:cs/>
          <w14:ligatures w14:val="none"/>
        </w:rPr>
        <w:t>ไม่</w:t>
      </w:r>
      <w:r w:rsidR="00ED064F" w:rsidRPr="00AF3358">
        <w:rPr>
          <w:rFonts w:eastAsia="Calibri"/>
          <w:color w:val="auto"/>
          <w:cs/>
          <w14:ligatures w14:val="none"/>
        </w:rPr>
        <w:t>มีความแตกต่างระหว่างภาระภาษีจากส่วนแบ่งของกำไรที่ได้รับจากกองทุนรวมอสังหาริมทรัพย์และภาระภาษีจากประโยชน์ตอบแทนที่ได้รับจากทรัสต์เพื่อการลงทุนในอสังหาริมทรัพย์</w:t>
      </w:r>
      <w:r w:rsidR="00ED064F" w:rsidRPr="00AF3358">
        <w:rPr>
          <w:rFonts w:eastAsia="Calibri"/>
          <w:b/>
          <w:bCs/>
          <w:color w:val="auto"/>
          <w:cs/>
          <w14:ligatures w14:val="none"/>
        </w:rPr>
        <w:t xml:space="preserve"> </w:t>
      </w:r>
      <w:r w:rsidR="00ED064F" w:rsidRPr="00AF3358">
        <w:rPr>
          <w:rFonts w:eastAsia="Calibri"/>
          <w:color w:val="auto"/>
          <w:cs/>
          <w14:ligatures w14:val="none"/>
        </w:rPr>
        <w:t>ดังนี้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734"/>
      </w:tblGrid>
      <w:tr w:rsidR="00ED064F" w:rsidRPr="00AF3358" w14:paraId="084AB41A" w14:textId="77777777" w:rsidTr="00454CBC">
        <w:trPr>
          <w:tblHeader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A923E8E" w14:textId="77777777" w:rsidR="00ED064F" w:rsidRPr="00AF3358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กองทุนรวมอสังหาริมทรัพย์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776814A" w14:textId="77777777" w:rsidR="00ED064F" w:rsidRPr="00AF3358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ทรัสต์เพื่อการลงทุนในอสังหาริมทรัพย์</w:t>
            </w:r>
          </w:p>
        </w:tc>
      </w:tr>
      <w:tr w:rsidR="00ED064F" w:rsidRPr="00AF3358" w14:paraId="43E3A2DE" w14:textId="77777777" w:rsidTr="00454CBC">
        <w:trPr>
          <w:trHeight w:val="800"/>
          <w:tblHeader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4EBF01C" w14:textId="51B12896" w:rsidR="00ED064F" w:rsidRPr="00AF3358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อัตราภาษีของส่วนแบ่งของกำไร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A673185" w14:textId="146EDFC8" w:rsidR="00ED064F" w:rsidRPr="00AF3358" w:rsidRDefault="00ED064F" w:rsidP="007254A3">
            <w:pPr>
              <w:autoSpaceDE/>
              <w:autoSpaceDN/>
              <w:adjustRightInd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อัตราภาษีของประโยชน์ตอบแทน</w:t>
            </w:r>
          </w:p>
        </w:tc>
      </w:tr>
      <w:tr w:rsidR="00ED064F" w:rsidRPr="00AF3358" w14:paraId="541E20E1" w14:textId="77777777" w:rsidTr="00454CBC">
        <w:trPr>
          <w:trHeight w:val="2105"/>
        </w:trPr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BF98A" w14:textId="77777777" w:rsidR="00ED064F" w:rsidRPr="00AF3358" w:rsidRDefault="00ED064F" w:rsidP="00ED064F">
            <w:pPr>
              <w:autoSpaceDE/>
              <w:autoSpaceDN/>
              <w:adjustRightInd/>
              <w:spacing w:after="120" w:line="276" w:lineRule="auto"/>
              <w:ind w:left="0" w:firstLine="0"/>
              <w:jc w:val="left"/>
              <w:textAlignment w:val="bottom"/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บุคคลธรรมดา</w:t>
            </w:r>
          </w:p>
          <w:p w14:paraId="0DD0E346" w14:textId="77777777" w:rsidR="00ED064F" w:rsidRPr="00AF3358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3" w:hanging="567"/>
              <w:jc w:val="left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</w:t>
            </w:r>
          </w:p>
          <w:p w14:paraId="21ABBA7D" w14:textId="490E6752" w:rsidR="00ED064F" w:rsidRPr="00AF3358" w:rsidRDefault="00ED064F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b/>
                <w:bCs/>
                <w:color w:val="auto"/>
                <w:u w:val="singl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ab/>
              <w:t xml:space="preserve">ผู้จ่ายต้องหักภาษี ณ ที่จ่ายในอัตราร้อยละ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10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และผู้ถือหน่วยมีสิทธิเลือกที่จะ</w:t>
            </w:r>
            <w:r w:rsidR="00684560" w:rsidRPr="00AF3358">
              <w:rPr>
                <w:rFonts w:eastAsia="Calibri"/>
                <w:color w:val="auto"/>
                <w:lang w:eastAsia="x-none"/>
                <w14:ligatures w14:val="none"/>
              </w:rPr>
              <w:br/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ไม่นำมารวมคำนวณเสียภาษีเงินได้</w:t>
            </w:r>
          </w:p>
        </w:tc>
      </w:tr>
      <w:tr w:rsidR="00ED064F" w:rsidRPr="00AF3358" w14:paraId="43559795" w14:textId="77777777" w:rsidTr="00454CBC">
        <w:tc>
          <w:tcPr>
            <w:tcW w:w="7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3EEB" w14:textId="77777777" w:rsidR="00ED064F" w:rsidRPr="00AF3358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3" w:hanging="567"/>
              <w:jc w:val="left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ผู้มิได้อยู่ในประเทศไทย</w:t>
            </w:r>
          </w:p>
          <w:p w14:paraId="0FDA756C" w14:textId="77777777" w:rsidR="00ED064F" w:rsidRPr="00AF3358" w:rsidRDefault="00ED064F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AF3358">
              <w:rPr>
                <w:rFonts w:eastAsia="Calibri"/>
                <w:color w:val="auto"/>
                <w:spacing w:val="-2"/>
                <w:cs/>
                <w:lang w:eastAsia="x-none"/>
                <w14:ligatures w14:val="none"/>
              </w:rPr>
              <w:t xml:space="preserve">ผู้จ่ายต้องหักภาษี ณ ที่จ่ายในอัตราร้อยละ </w:t>
            </w:r>
            <w:r w:rsidRPr="00AF3358">
              <w:rPr>
                <w:rFonts w:eastAsia="Calibri"/>
                <w:color w:val="auto"/>
                <w:spacing w:val="-2"/>
                <w:lang w:eastAsia="x-none"/>
                <w14:ligatures w14:val="none"/>
              </w:rPr>
              <w:t>10</w:t>
            </w:r>
            <w:r w:rsidRPr="00AF3358">
              <w:rPr>
                <w:rFonts w:eastAsia="Calibri"/>
                <w:color w:val="auto"/>
                <w:spacing w:val="-2"/>
                <w:cs/>
                <w:lang w:eastAsia="x-none"/>
                <w14:ligatures w14:val="none"/>
              </w:rPr>
              <w:t xml:space="preserve"> </w:t>
            </w:r>
            <w:r w:rsidRPr="00AF3358">
              <w:rPr>
                <w:rFonts w:eastAsia="Calibri"/>
                <w:spacing w:val="-2"/>
                <w:cs/>
                <w:lang w:eastAsia="x-none"/>
                <w14:ligatures w14:val="none"/>
              </w:rPr>
              <w:t>หรือตามอัตราที่ระบุในอนุสัญญาภาษีซ้อน</w:t>
            </w:r>
          </w:p>
          <w:p w14:paraId="4AD75E9D" w14:textId="3405AC6E" w:rsidR="00ED064F" w:rsidRPr="00AF3358" w:rsidRDefault="00ED064F" w:rsidP="00ED064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bottom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“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”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หมายถึง </w:t>
            </w:r>
            <w:r w:rsidRPr="00AF3358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>บุคคลธรรมดาผู้อยู่ในประเทศไทยชั่วระยะเวลาหนึ่งหรือ</w:t>
            </w:r>
            <w:r w:rsidR="00684560" w:rsidRPr="00AF3358">
              <w:rPr>
                <w:rFonts w:eastAsia="Calibri"/>
                <w:color w:val="222222"/>
                <w:shd w:val="clear" w:color="auto" w:fill="FFFFFF"/>
                <w14:ligatures w14:val="none"/>
              </w:rPr>
              <w:br/>
            </w:r>
            <w:r w:rsidRPr="00AF3358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หลายระยะ รวมเวลาทั้งหมดถึง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180</w:t>
            </w:r>
            <w:r w:rsidRPr="00AF3358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 วันในปีภาษีใด</w:t>
            </w:r>
          </w:p>
        </w:tc>
      </w:tr>
      <w:tr w:rsidR="00C5582A" w:rsidRPr="00AF3358" w14:paraId="0128564D" w14:textId="77777777" w:rsidTr="00AE3221">
        <w:trPr>
          <w:trHeight w:val="892"/>
        </w:trPr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EB5" w14:textId="77777777" w:rsidR="00C5582A" w:rsidRPr="00AF3358" w:rsidRDefault="00C5582A" w:rsidP="00ED064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bottom"/>
              <w:rPr>
                <w:rFonts w:eastAsia="Calibri"/>
                <w:color w:val="auto"/>
                <w:cs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นิติบุคคล</w:t>
            </w:r>
          </w:p>
          <w:p w14:paraId="27534DC3" w14:textId="77777777" w:rsidR="00C5582A" w:rsidRPr="00AF3358" w:rsidRDefault="00C5582A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3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บริษัทไทยและบริษัทต่างประเทศ (ประกอบกิจการในประเทศไทย) </w:t>
            </w:r>
          </w:p>
          <w:p w14:paraId="41DAFAAC" w14:textId="7CC755C1" w:rsidR="00C5582A" w:rsidRPr="00AF3358" w:rsidRDefault="00C5582A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ผู้จ่ายต้องหักภาษี ณ ที่จ่ายในอัตราร้อยละ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10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โดยบริษัทผู้มีเงินได้ต้องนำไปรวมคำนวณเพื่อเสียภาษีเงินได้นิติบุคคลในอัตราร้อยละ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20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</w:t>
            </w:r>
            <w:r w:rsidRPr="00AF3358">
              <w:rPr>
                <w:rFonts w:eastAsia="Calibri" w:hint="cs"/>
                <w:color w:val="auto"/>
                <w:cs/>
                <w:lang w:eastAsia="x-none"/>
                <w14:ligatures w14:val="none"/>
              </w:rPr>
              <w:t>หรืออัตราอื่นใดที่ใช้บังคับกับนิติบุคคล</w:t>
            </w:r>
            <w:r w:rsidR="005D2AEF"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br/>
            </w:r>
            <w:r w:rsidRPr="00AF3358">
              <w:rPr>
                <w:rFonts w:eastAsia="Calibri" w:hint="cs"/>
                <w:color w:val="auto"/>
                <w:cs/>
                <w:lang w:eastAsia="x-none"/>
                <w14:ligatures w14:val="none"/>
              </w:rPr>
              <w:t>นั้น ๆ ตามที่กฎหมายกำหนด</w:t>
            </w:r>
          </w:p>
          <w:p w14:paraId="16D24950" w14:textId="77777777" w:rsidR="00C5582A" w:rsidRPr="00AF3358" w:rsidRDefault="00C5582A" w:rsidP="00ED064F">
            <w:pPr>
              <w:keepNext/>
              <w:numPr>
                <w:ilvl w:val="0"/>
                <w:numId w:val="16"/>
              </w:numPr>
              <w:autoSpaceDE/>
              <w:autoSpaceDN/>
              <w:adjustRightInd/>
              <w:spacing w:after="120" w:line="276" w:lineRule="auto"/>
              <w:ind w:left="601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บริษัทต่างประเทศที่มิได้ประกอบกิจการในไทย</w:t>
            </w:r>
          </w:p>
          <w:p w14:paraId="41FCE0FE" w14:textId="7C8BB499" w:rsidR="00C5582A" w:rsidRPr="00AF3358" w:rsidRDefault="00C5582A" w:rsidP="00ED064F">
            <w:pPr>
              <w:autoSpaceDE/>
              <w:autoSpaceDN/>
              <w:adjustRightInd/>
              <w:spacing w:after="120" w:line="276" w:lineRule="auto"/>
              <w:ind w:left="603" w:firstLine="0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ผู้จ่ายต้องหักภาษี ณ ที่จ่ายอัตราร้อยละ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10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หรือตามอัตราที่ระบุในอนุสัญญาภาษีซ้อน</w:t>
            </w:r>
          </w:p>
          <w:p w14:paraId="69190D83" w14:textId="6CE19560" w:rsidR="00C5582A" w:rsidRPr="00AF3358" w:rsidRDefault="00C5582A" w:rsidP="00ED064F">
            <w:pPr>
              <w:autoSpaceDE/>
              <w:autoSpaceDN/>
              <w:adjustRightInd/>
              <w:spacing w:after="120"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14:ligatures w14:val="none"/>
              </w:rPr>
            </w:pPr>
          </w:p>
        </w:tc>
      </w:tr>
    </w:tbl>
    <w:p w14:paraId="657FE3D2" w14:textId="77777777" w:rsidR="00ED064F" w:rsidRPr="00AF3358" w:rsidRDefault="00ED064F" w:rsidP="005C52C0">
      <w:pPr>
        <w:pStyle w:val="Heading2"/>
        <w:numPr>
          <w:ilvl w:val="0"/>
          <w:numId w:val="12"/>
        </w:numPr>
      </w:pPr>
      <w:r w:rsidRPr="00AF3358">
        <w:rPr>
          <w:cs/>
        </w:rPr>
        <w:lastRenderedPageBreak/>
        <w:t xml:space="preserve">ภาระภาษีจากส่วนเกินมูลค่าหน่วยลงทุน/หน่วยทรัสต์ </w:t>
      </w:r>
      <w:r w:rsidRPr="00AF3358">
        <w:t>(Capital Gain)</w:t>
      </w:r>
      <w:r w:rsidRPr="00AF3358">
        <w:rPr>
          <w:vertAlign w:val="superscript"/>
        </w:rPr>
        <w:footnoteReference w:id="3"/>
      </w:r>
    </w:p>
    <w:p w14:paraId="7653D8E5" w14:textId="77777777" w:rsidR="00ED064F" w:rsidRPr="00AF3358" w:rsidRDefault="00ED064F" w:rsidP="007254A3">
      <w:pPr>
        <w:autoSpaceDE/>
        <w:autoSpaceDN/>
        <w:adjustRightInd/>
        <w:spacing w:after="180" w:line="276" w:lineRule="auto"/>
        <w:ind w:firstLine="720"/>
        <w:rPr>
          <w:rFonts w:eastAsia="Calibri"/>
          <w:color w:val="auto"/>
          <w:lang w:bidi="ar-SA"/>
          <w14:ligatures w14:val="none"/>
        </w:rPr>
      </w:pPr>
      <w:r w:rsidRPr="00AF3358">
        <w:rPr>
          <w:rFonts w:eastAsia="Calibri"/>
          <w:color w:val="auto"/>
          <w:cs/>
          <w14:ligatures w14:val="none"/>
        </w:rPr>
        <w:t>ไม่มีความแตกต่างระหว่างภาระภาษีจากส่วนเกินมูลค่าหน่วยลงทุนและภาระภาษีจากส่วนเกินมูลค่าหน่วยทรัสต์</w:t>
      </w:r>
    </w:p>
    <w:tbl>
      <w:tblPr>
        <w:tblW w:w="4163" w:type="pct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3754"/>
      </w:tblGrid>
      <w:tr w:rsidR="00ED064F" w:rsidRPr="00AF3358" w14:paraId="1DA8FFE1" w14:textId="77777777" w:rsidTr="005C52C0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9B4AF79" w14:textId="77777777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กองทุนรวมอสังหาริมทรัพย์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3BC662F" w14:textId="77777777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ทรัสต์เพื่อการลงทุนในอสังหาริมทรัพย์</w:t>
            </w:r>
          </w:p>
        </w:tc>
      </w:tr>
      <w:tr w:rsidR="00ED064F" w:rsidRPr="00AF3358" w14:paraId="51B0FD66" w14:textId="77777777" w:rsidTr="005C52C0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76D164E" w14:textId="252C8594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อัตราภาษีจากส่วนเกินมูลค่าหน่วยลงทุน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EFD97B0" w14:textId="380D426D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center"/>
              <w:textAlignment w:val="center"/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cs/>
                <w:lang w:eastAsia="x-none"/>
                <w14:ligatures w14:val="none"/>
              </w:rPr>
              <w:t>อัตราภาษีจากส่วนเกินมูลค่าหน่วยทรัสต์</w:t>
            </w:r>
          </w:p>
        </w:tc>
      </w:tr>
      <w:tr w:rsidR="00ED064F" w:rsidRPr="00AF3358" w14:paraId="732ECA6C" w14:textId="77777777" w:rsidTr="005C52C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61051" w14:textId="77777777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left"/>
              <w:textAlignment w:val="bottom"/>
              <w:rPr>
                <w:rFonts w:eastAsia="Times New Roman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บุคคลธรรมดา</w:t>
            </w:r>
          </w:p>
          <w:p w14:paraId="33DCBA3C" w14:textId="77777777" w:rsidR="00ED064F" w:rsidRPr="00AF3358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603" w:hanging="567"/>
              <w:jc w:val="left"/>
              <w:rPr>
                <w:rFonts w:eastAsia="Times New Roman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ผู้อยู่ในประเทศไทยและไม่ใช่ผู้อยู่ในประเทศไทย</w:t>
            </w:r>
          </w:p>
          <w:p w14:paraId="35E15C3A" w14:textId="7D67C8F9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603" w:firstLine="0"/>
              <w:contextualSpacing/>
              <w:textAlignment w:val="bottom"/>
              <w:rPr>
                <w:rFonts w:eastAsia="Calibri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ได้รับยกเว้นไม่ต้องรวมคำนวณเพื่อเสียภาษีเงินได้ หากขายในตลาดหลักทรัพย์</w:t>
            </w:r>
            <w:r w:rsidR="008B28DA" w:rsidRPr="00AF3358">
              <w:rPr>
                <w:rFonts w:eastAsia="Calibri"/>
                <w:color w:val="auto"/>
                <w:lang w:eastAsia="x-none"/>
                <w14:ligatures w14:val="none"/>
              </w:rPr>
              <w:br/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แห่งประเทศไทย</w:t>
            </w:r>
          </w:p>
          <w:p w14:paraId="219BDB0A" w14:textId="77777777" w:rsidR="00ED064F" w:rsidRPr="00AF3358" w:rsidRDefault="00ED064F" w:rsidP="00ED064F">
            <w:pPr>
              <w:autoSpaceDE/>
              <w:autoSpaceDN/>
              <w:adjustRightInd/>
              <w:spacing w:after="120" w:line="276" w:lineRule="auto"/>
              <w:ind w:left="0" w:firstLine="0"/>
              <w:textAlignment w:val="bottom"/>
              <w:rPr>
                <w:rFonts w:eastAsia="Calibri"/>
                <w:b/>
                <w:bCs/>
                <w:color w:val="auto"/>
                <w:u w:val="single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“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ผู้อยู่ในประเทศไทย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”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หมายถึง บุคคล</w:t>
            </w:r>
            <w:r w:rsidRPr="00AF3358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ธรรมดาผู้อยู่ในประเทศไทยชั่วระยะเวลาหนึ่งหรือหลายระยะ รวมเวลาทั้งหมดถึง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180</w:t>
            </w:r>
            <w:r w:rsidRPr="00AF3358">
              <w:rPr>
                <w:rFonts w:eastAsia="Calibri"/>
                <w:color w:val="222222"/>
                <w:shd w:val="clear" w:color="auto" w:fill="FFFFFF"/>
                <w:cs/>
                <w14:ligatures w14:val="none"/>
              </w:rPr>
              <w:t xml:space="preserve"> วันในปีภาษีใด</w:t>
            </w:r>
          </w:p>
        </w:tc>
      </w:tr>
      <w:tr w:rsidR="00ED064F" w:rsidRPr="00AF3358" w14:paraId="7A458ACB" w14:textId="77777777" w:rsidTr="007254A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88F7D" w14:textId="77777777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</w:pPr>
            <w:r w:rsidRPr="00AF3358">
              <w:rPr>
                <w:rFonts w:eastAsia="Times New Roman"/>
                <w:b/>
                <w:bCs/>
                <w:color w:val="auto"/>
                <w:u w:val="single"/>
                <w:cs/>
                <w:lang w:eastAsia="x-none"/>
                <w14:ligatures w14:val="none"/>
              </w:rPr>
              <w:t>นิติบุคคล</w:t>
            </w:r>
          </w:p>
        </w:tc>
      </w:tr>
      <w:tr w:rsidR="00ED064F" w:rsidRPr="00AF3358" w14:paraId="48DD8BBE" w14:textId="77777777" w:rsidTr="007254A3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8C86" w14:textId="77777777" w:rsidR="00ED064F" w:rsidRPr="00AF3358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603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บริษัทไทยและบริษัทต่างประเทศ (ประกอบกิจการในประเทศไทย) </w:t>
            </w:r>
          </w:p>
          <w:p w14:paraId="391DD768" w14:textId="41A9A1FC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ไม่ต้องถูกหักภาษี ณ ที่จ่าย แต่ต้องนำไปรวมคำนวณกำไรสุทธิเพื่อเสียภาษีเงินได้</w:t>
            </w:r>
            <w:r w:rsidR="00122BAA" w:rsidRPr="00AF3358">
              <w:rPr>
                <w:rFonts w:eastAsia="Calibri"/>
                <w:color w:val="auto"/>
                <w:lang w:eastAsia="x-none"/>
                <w14:ligatures w14:val="none"/>
              </w:rPr>
              <w:br/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นิติบุคคลในอัตราร้อยละ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20 </w:t>
            </w:r>
            <w:r w:rsidRPr="00AF3358">
              <w:rPr>
                <w:rFonts w:eastAsia="Calibri" w:hint="cs"/>
                <w:color w:val="auto"/>
                <w:cs/>
                <w:lang w:eastAsia="x-none"/>
                <w14:ligatures w14:val="none"/>
              </w:rPr>
              <w:t>หรืออัตราอื่นใดที่ใช้บังคับกับนิติบุคคลนั้น ๆ ตามที่กฎหมายกำหนด</w:t>
            </w:r>
          </w:p>
        </w:tc>
      </w:tr>
      <w:tr w:rsidR="00ED064F" w:rsidRPr="00AF3358" w14:paraId="3D52DBBF" w14:textId="77777777" w:rsidTr="007254A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E57E" w14:textId="77777777" w:rsidR="00ED064F" w:rsidRPr="00AF3358" w:rsidRDefault="00ED064F" w:rsidP="00ED064F">
            <w:pPr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603" w:hanging="567"/>
              <w:jc w:val="left"/>
              <w:rPr>
                <w:rFonts w:eastAsia="Calibri"/>
                <w:color w:val="auto"/>
                <w:cs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>บริษัทต่างประเทศที่มิได้ประกอบกิจการในไทย</w:t>
            </w:r>
          </w:p>
          <w:p w14:paraId="18DEFB14" w14:textId="77777777" w:rsidR="00ED064F" w:rsidRPr="00AF3358" w:rsidRDefault="00ED064F" w:rsidP="00ED064F">
            <w:pPr>
              <w:autoSpaceDE/>
              <w:autoSpaceDN/>
              <w:adjustRightInd/>
              <w:spacing w:line="276" w:lineRule="auto"/>
              <w:ind w:left="603" w:firstLine="0"/>
              <w:contextualSpacing/>
              <w:textAlignment w:val="bottom"/>
              <w:rPr>
                <w:rFonts w:eastAsia="Calibri"/>
                <w:color w:val="auto"/>
                <w:lang w:eastAsia="x-none"/>
                <w14:ligatures w14:val="none"/>
              </w:rPr>
            </w:pP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 xml:space="preserve">: 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ต้องหักภาษี ณ ที่จ่ายอัตราร้อยละ </w:t>
            </w:r>
            <w:r w:rsidRPr="00AF3358">
              <w:rPr>
                <w:rFonts w:eastAsia="Calibri"/>
                <w:color w:val="auto"/>
                <w:lang w:eastAsia="x-none"/>
                <w14:ligatures w14:val="none"/>
              </w:rPr>
              <w:t>15</w:t>
            </w:r>
            <w:r w:rsidRPr="00AF3358">
              <w:rPr>
                <w:rFonts w:eastAsia="Calibri"/>
                <w:color w:val="auto"/>
                <w:cs/>
                <w:lang w:eastAsia="x-none"/>
                <w14:ligatures w14:val="none"/>
              </w:rPr>
              <w:t xml:space="preserve"> หรือตามอัตราที่ระบุในอนุสัญญาภาษีซ้อน</w:t>
            </w:r>
          </w:p>
        </w:tc>
      </w:tr>
    </w:tbl>
    <w:p w14:paraId="6352ED21" w14:textId="77777777" w:rsidR="00CE0113" w:rsidRPr="00AF3358" w:rsidRDefault="00CE0113" w:rsidP="00CE0113"/>
    <w:p w14:paraId="76055850" w14:textId="7EA78920" w:rsidR="005C5DA8" w:rsidRPr="00AF3358" w:rsidRDefault="005C5DA8" w:rsidP="001A4447">
      <w:pPr>
        <w:pStyle w:val="Heading1"/>
      </w:pPr>
      <w:r w:rsidRPr="001A4447">
        <w:rPr>
          <w:rFonts w:cs="Cordia New"/>
          <w:cs/>
        </w:rPr>
        <w:t>สิทธิประโยชน์ทางภาษีที่เกี่ยวข้องกับการแปลงสภาพกองทุนรวมอสังหาริมทรัพย์เป็นทรัสต์เพื่อการลงทุนในอสังหาริมทรัพย์</w:t>
      </w:r>
    </w:p>
    <w:p w14:paraId="03214614" w14:textId="7A9E31C4" w:rsidR="006911DA" w:rsidRPr="00AF3358" w:rsidRDefault="005C5DA8" w:rsidP="001A4447">
      <w:pPr>
        <w:pStyle w:val="ListParagraph"/>
        <w:numPr>
          <w:ilvl w:val="0"/>
          <w:numId w:val="21"/>
        </w:numPr>
      </w:pPr>
      <w:r w:rsidRPr="00AF3358">
        <w:rPr>
          <w:rFonts w:hint="cs"/>
          <w:cs/>
        </w:rPr>
        <w:t>ผู้ถือหน่วยลงทุนในกองทุนรวมอสังหาริมทรัพย์ จะได้รับการยกเว้นค่าภาษีเงินได้ของผู้ถือหน่วยลงทุนของกองทุนรวม สำหรับเงินได้ที่เกิดจากการเปลี่ยนแปลงหน่วยลงทุนของกองทุนรวมไปเป็น</w:t>
      </w:r>
      <w:r w:rsidR="00A42A7D" w:rsidRPr="00B60C04">
        <w:rPr>
          <w:rFonts w:hint="cs"/>
          <w:cs/>
        </w:rPr>
        <w:t>ใบ</w:t>
      </w:r>
      <w:r w:rsidRPr="00AF3358">
        <w:rPr>
          <w:rFonts w:hint="cs"/>
          <w:cs/>
        </w:rPr>
        <w:t>ทรัสต์</w:t>
      </w:r>
      <w:r w:rsidRPr="00AF3358">
        <w:br/>
      </w:r>
      <w:r w:rsidRPr="00AF3358">
        <w:rPr>
          <w:rFonts w:hint="cs"/>
          <w:cs/>
        </w:rPr>
        <w:t>ของกองทรัสต์อันเนื่องมาจากการแปลงสภาพกองทุนรวมอสังหาริมทรัพย์เป็นทรัสต์เพื่อการลงทุนในอสังหาริมทรัพย์</w:t>
      </w:r>
      <w:r w:rsidR="00F57D04" w:rsidRPr="00AF3358">
        <w:rPr>
          <w:rFonts w:hint="cs"/>
          <w:cs/>
        </w:rPr>
        <w:t xml:space="preserve"> ตั้งแต่วันที่ </w:t>
      </w:r>
      <w:r w:rsidR="00F57D04" w:rsidRPr="00AF3358">
        <w:t xml:space="preserve">2 </w:t>
      </w:r>
      <w:r w:rsidR="00F57D04" w:rsidRPr="00AF3358">
        <w:rPr>
          <w:rFonts w:hint="cs"/>
          <w:cs/>
        </w:rPr>
        <w:t xml:space="preserve">มิถุนายน </w:t>
      </w:r>
      <w:r w:rsidR="00F57D04" w:rsidRPr="00AF3358">
        <w:t xml:space="preserve">2566 </w:t>
      </w:r>
      <w:r w:rsidR="00F57D04" w:rsidRPr="00AF3358">
        <w:rPr>
          <w:rFonts w:hint="cs"/>
          <w:cs/>
        </w:rPr>
        <w:t xml:space="preserve">จนถึงวันที่ </w:t>
      </w:r>
      <w:r w:rsidR="00F57D04" w:rsidRPr="00AF3358">
        <w:t xml:space="preserve">31 </w:t>
      </w:r>
      <w:r w:rsidR="00F57D04" w:rsidRPr="00AF3358">
        <w:rPr>
          <w:rFonts w:hint="cs"/>
          <w:cs/>
        </w:rPr>
        <w:t xml:space="preserve">ธันวาคม </w:t>
      </w:r>
      <w:r w:rsidR="00F57D04" w:rsidRPr="00AF3358">
        <w:t>2567</w:t>
      </w:r>
      <w:r w:rsidR="00F57D04" w:rsidRPr="001A4447">
        <w:rPr>
          <w:vertAlign w:val="superscript"/>
        </w:rPr>
        <w:t>3</w:t>
      </w:r>
    </w:p>
    <w:p w14:paraId="157C4FB6" w14:textId="24CA1F82" w:rsidR="009D735F" w:rsidRPr="00AF3358" w:rsidRDefault="005C5DA8" w:rsidP="009D735F">
      <w:pPr>
        <w:pStyle w:val="ListParagraph"/>
        <w:numPr>
          <w:ilvl w:val="0"/>
          <w:numId w:val="21"/>
        </w:numPr>
        <w:spacing w:after="120"/>
        <w:ind w:left="1077" w:hanging="357"/>
        <w:contextualSpacing w:val="0"/>
      </w:pPr>
      <w:r w:rsidRPr="00AF3358">
        <w:rPr>
          <w:rFonts w:hint="cs"/>
          <w:cs/>
        </w:rPr>
        <w:t xml:space="preserve">กองทุนรวมอสังหาริมทรัพย์จะได้รับสิทธิประโยชน์ทางภาษีในการได้รับยกเว้นภาษีมูลค่าเพิ่ม </w:t>
      </w:r>
      <w:r w:rsidRPr="00AF3358">
        <w:br/>
      </w:r>
      <w:r w:rsidRPr="00AF3358">
        <w:rPr>
          <w:rFonts w:hint="cs"/>
          <w:cs/>
        </w:rPr>
        <w:t>ภาษีธุรกิจเฉพาะ และอากรแสตมป์ สำหรับมูลค่าของฐานภาษีรายรับ หรือการกระทำตราสารที่เกิดขึ้น</w:t>
      </w:r>
      <w:r w:rsidR="00EB2242" w:rsidRPr="00AF3358">
        <w:rPr>
          <w:cs/>
        </w:rPr>
        <w:br/>
      </w:r>
      <w:r w:rsidRPr="00AF3358">
        <w:rPr>
          <w:rFonts w:hint="cs"/>
          <w:cs/>
        </w:rPr>
        <w:t>หรือเนื่องมาจากการโอนหรือก่อทรัพยสิทธิ</w:t>
      </w:r>
      <w:r w:rsidR="008A597C" w:rsidRPr="00AF3358">
        <w:t xml:space="preserve"> </w:t>
      </w:r>
      <w:r w:rsidRPr="00AF3358">
        <w:rPr>
          <w:rFonts w:hint="cs"/>
          <w:cs/>
        </w:rPr>
        <w:t>หรือสิทธิใด ๆ ในทรัพย์สิน อันเนื่องมาจากการแปลงสภาพกองทุนรวมอสังหาริมทรัพย์เป็นทรัสต์เพื่อการลงทุนในอสังหาริมทรัพย์</w:t>
      </w:r>
      <w:r w:rsidR="00F57D04" w:rsidRPr="00AF3358">
        <w:rPr>
          <w:rStyle w:val="FootnoteReference"/>
        </w:rPr>
        <w:footnoteReference w:customMarkFollows="1" w:id="4"/>
        <w:t>4</w:t>
      </w:r>
    </w:p>
    <w:p w14:paraId="58186E07" w14:textId="3B4BCDE5" w:rsidR="005C5DA8" w:rsidRPr="00AF3358" w:rsidRDefault="009D735F" w:rsidP="001A4447">
      <w:pPr>
        <w:pStyle w:val="ListParagraph"/>
        <w:numPr>
          <w:ilvl w:val="0"/>
          <w:numId w:val="21"/>
        </w:numPr>
        <w:spacing w:after="120"/>
        <w:ind w:left="1077" w:hanging="357"/>
        <w:contextualSpacing w:val="0"/>
      </w:pPr>
      <w:r w:rsidRPr="001A4447">
        <w:rPr>
          <w:cs/>
        </w:rPr>
        <w:t>กองทุนรวมอสังหาริมทรัพย์</w:t>
      </w:r>
      <w:r w:rsidR="00EB0975" w:rsidRPr="00AF3358">
        <w:rPr>
          <w:rFonts w:asciiTheme="minorBidi" w:eastAsia="Times New Roman" w:hAnsiTheme="minorBidi" w:cstheme="minorBidi" w:hint="cs"/>
          <w:cs/>
        </w:rPr>
        <w:t>/กองทรัสต์</w:t>
      </w:r>
      <w:r w:rsidRPr="001A4447">
        <w:rPr>
          <w:cs/>
        </w:rPr>
        <w:t xml:space="preserve">จะได้รับลดหย่อนค่าธรรมเนียมการจดทะเบียนสิทธิและนิติกรรมเกี่ยวกับอสังหาริมทรัพย์ประเภทมีทุนทรัพย์อันเนื่องมาจากการแปลงสภาพกองทุนรวมอสังหาริมทรัพย์เป็นทรัสต์เพื่อการลงทุนในอสังหาริมทรัพย์ตามกฎหมายว่าด้วยทรัสต์เพื่อธุรกรรมในตลาดทุน โดยจัดเก็บในอัตราร้อยละ </w:t>
      </w:r>
      <w:r w:rsidRPr="001A4447">
        <w:t>0.01</w:t>
      </w:r>
      <w:r w:rsidRPr="001A4447">
        <w:rPr>
          <w:cs/>
        </w:rPr>
        <w:t xml:space="preserve"> </w:t>
      </w:r>
      <w:r w:rsidR="007A378C" w:rsidRPr="00AF3358">
        <w:rPr>
          <w:rFonts w:hint="cs"/>
          <w:cs/>
        </w:rPr>
        <w:t>ของ</w:t>
      </w:r>
      <w:r w:rsidR="00AF3358" w:rsidRPr="00AF3358">
        <w:rPr>
          <w:rFonts w:hint="cs"/>
          <w:cs/>
        </w:rPr>
        <w:t>ราคาประเมิน</w:t>
      </w:r>
      <w:r w:rsidR="007A378C" w:rsidRPr="00AF3358">
        <w:rPr>
          <w:rFonts w:hint="cs"/>
          <w:cs/>
        </w:rPr>
        <w:t>ทุนทรัพย์</w:t>
      </w:r>
      <w:r w:rsidRPr="001A4447">
        <w:rPr>
          <w:cs/>
        </w:rPr>
        <w:t xml:space="preserve">แต่อย่างสูงไม่เกิน </w:t>
      </w:r>
      <w:r w:rsidRPr="001A4447">
        <w:t>100,000</w:t>
      </w:r>
      <w:r w:rsidRPr="001A4447">
        <w:rPr>
          <w:cs/>
        </w:rPr>
        <w:t xml:space="preserve"> บาท ต่อหนึ่งนิติกรรม</w:t>
      </w:r>
      <w:r w:rsidR="00E54A29" w:rsidRPr="00AF3358">
        <w:rPr>
          <w:rStyle w:val="FootnoteReference"/>
          <w:cs/>
        </w:rPr>
        <w:footnoteReference w:id="5"/>
      </w:r>
    </w:p>
    <w:p w14:paraId="0CB2C748" w14:textId="44126F99" w:rsidR="00EE6373" w:rsidRPr="00AF3358" w:rsidRDefault="00EE6373" w:rsidP="005C5DA8"/>
    <w:p w14:paraId="3764DE5F" w14:textId="27CFFEDD" w:rsidR="00EE6373" w:rsidRPr="00AF3358" w:rsidRDefault="00EE6373" w:rsidP="00EE6373">
      <w:pPr>
        <w:ind w:firstLine="0"/>
      </w:pPr>
      <w:r w:rsidRPr="00AF3358">
        <w:rPr>
          <w:rFonts w:hint="cs"/>
          <w:cs/>
        </w:rPr>
        <w:t xml:space="preserve">ทั้งนี้ ตามที่ประชุมผู้ถือหน่วยลงทุนของกองทุนรวม </w:t>
      </w:r>
      <w:r w:rsidRPr="00AF3358">
        <w:t xml:space="preserve">BKKCP </w:t>
      </w:r>
      <w:r w:rsidRPr="00AF3358">
        <w:rPr>
          <w:rFonts w:hint="cs"/>
          <w:cs/>
        </w:rPr>
        <w:t xml:space="preserve">ครั้งที่ </w:t>
      </w:r>
      <w:r w:rsidRPr="00AF3358">
        <w:t xml:space="preserve">1/2567 </w:t>
      </w:r>
      <w:r w:rsidR="00EB0975" w:rsidRPr="00AF3358">
        <w:rPr>
          <w:rFonts w:hint="cs"/>
          <w:cs/>
        </w:rPr>
        <w:t>เมื่อ</w:t>
      </w:r>
      <w:r w:rsidR="00EB0975" w:rsidRPr="00AF3358">
        <w:rPr>
          <w:cs/>
          <w:lang w:val="en-GB"/>
        </w:rPr>
        <w:t>วันที่</w:t>
      </w:r>
      <w:r w:rsidR="00EB0975" w:rsidRPr="00AF3358">
        <w:t xml:space="preserve"> 25 </w:t>
      </w:r>
      <w:r w:rsidR="00EB0975" w:rsidRPr="00AF3358">
        <w:rPr>
          <w:rFonts w:hint="cs"/>
          <w:cs/>
        </w:rPr>
        <w:t>กรกฎาคม</w:t>
      </w:r>
      <w:r w:rsidR="00EB0975" w:rsidRPr="00AF3358">
        <w:rPr>
          <w:cs/>
        </w:rPr>
        <w:t xml:space="preserve"> </w:t>
      </w:r>
      <w:r w:rsidR="00EB0975" w:rsidRPr="00AF3358">
        <w:t>2567</w:t>
      </w:r>
      <w:r w:rsidR="00EB0975" w:rsidRPr="00AF3358">
        <w:rPr>
          <w:rFonts w:hint="cs"/>
          <w:cs/>
        </w:rPr>
        <w:t xml:space="preserve"> </w:t>
      </w:r>
      <w:r w:rsidRPr="00AF3358">
        <w:rPr>
          <w:rFonts w:hint="cs"/>
          <w:cs/>
        </w:rPr>
        <w:t>มีมติอนุมัติการแปลงสภาพกองทุนรวมเป็นกองทรัสต์ โดยจะดำเนินการภายในช่วงระยะเวลาที่กฎหมายที่เกี่ยวข้องกับสิทธิประโยชน์ทางภาษีและค่าธรรมเนียมการแปลงสภาพ</w:t>
      </w:r>
      <w:r w:rsidR="00EB0975" w:rsidRPr="00AF3358">
        <w:rPr>
          <w:rFonts w:hint="cs"/>
          <w:cs/>
        </w:rPr>
        <w:t>ซึ่ง</w:t>
      </w:r>
      <w:r w:rsidRPr="00AF3358">
        <w:rPr>
          <w:rFonts w:hint="cs"/>
          <w:cs/>
        </w:rPr>
        <w:t>มีผลบังคับใช้</w:t>
      </w:r>
      <w:r w:rsidR="00EB0975" w:rsidRPr="00AF3358">
        <w:rPr>
          <w:cs/>
        </w:rPr>
        <w:t xml:space="preserve">จนถึงวันที่ </w:t>
      </w:r>
      <w:r w:rsidR="00EB0975" w:rsidRPr="00AF3358">
        <w:t xml:space="preserve">31 </w:t>
      </w:r>
      <w:r w:rsidR="00EB0975" w:rsidRPr="00AF3358">
        <w:rPr>
          <w:cs/>
        </w:rPr>
        <w:t xml:space="preserve">ธันวาคม </w:t>
      </w:r>
      <w:r w:rsidR="00EB0975" w:rsidRPr="00AF3358">
        <w:t>2567</w:t>
      </w:r>
      <w:r w:rsidR="00EB0975" w:rsidRPr="00AF3358">
        <w:rPr>
          <w:rFonts w:hint="cs"/>
          <w:cs/>
        </w:rPr>
        <w:t xml:space="preserve"> (หรือระยะเวลาอื่นใดที่กฎหมายที่เกี่ยวข้องกับ</w:t>
      </w:r>
      <w:r w:rsidR="00EB0975" w:rsidRPr="00AF3358">
        <w:rPr>
          <w:cs/>
        </w:rPr>
        <w:t>สิทธิประโยชน์ทางภาษีและค่าธรรมเนียมจากการแปลงสภาพ</w:t>
      </w:r>
      <w:r w:rsidR="00EB0975" w:rsidRPr="00AF3358">
        <w:rPr>
          <w:rFonts w:hint="cs"/>
          <w:cs/>
        </w:rPr>
        <w:t>จะได้กำหนดให้สิทธิประโยชน์หรือขยายระยะเวลาออกไป</w:t>
      </w:r>
      <w:r w:rsidR="008E47F2" w:rsidRPr="00AF3358">
        <w:rPr>
          <w:rStyle w:val="FootnoteReference"/>
          <w:cs/>
        </w:rPr>
        <w:footnoteReference w:id="6"/>
      </w:r>
      <w:r w:rsidR="00EB0975" w:rsidRPr="00AF3358">
        <w:rPr>
          <w:rFonts w:hint="cs"/>
          <w:cs/>
        </w:rPr>
        <w:t>)</w:t>
      </w:r>
      <w:r w:rsidR="00EB0975" w:rsidRPr="00AF3358">
        <w:t xml:space="preserve"> </w:t>
      </w:r>
      <w:r w:rsidR="00EB0975" w:rsidRPr="00AF3358">
        <w:rPr>
          <w:rFonts w:hint="cs"/>
          <w:cs/>
        </w:rPr>
        <w:t>ทั้</w:t>
      </w:r>
      <w:r w:rsidR="00EB0975" w:rsidRPr="00AF3358">
        <w:rPr>
          <w:cs/>
        </w:rPr>
        <w:t xml:space="preserve">งนี้ หากการแปลงสภาพกองทุนรวม </w:t>
      </w:r>
      <w:r w:rsidR="00EB0975" w:rsidRPr="00AF3358">
        <w:t xml:space="preserve">BKKCP </w:t>
      </w:r>
      <w:r w:rsidR="00EB0975" w:rsidRPr="00AF3358">
        <w:rPr>
          <w:cs/>
        </w:rPr>
        <w:t xml:space="preserve">ไม่สามารถดำเนินการให้แล้วเสร็จภายในวันที่ </w:t>
      </w:r>
      <w:r w:rsidR="00EB0975" w:rsidRPr="00AF3358">
        <w:t xml:space="preserve">31 </w:t>
      </w:r>
      <w:r w:rsidR="00EB0975" w:rsidRPr="00AF3358">
        <w:rPr>
          <w:cs/>
        </w:rPr>
        <w:t xml:space="preserve">ธันวาคม </w:t>
      </w:r>
      <w:r w:rsidR="00EB0975" w:rsidRPr="00AF3358">
        <w:t xml:space="preserve">2567 </w:t>
      </w:r>
      <w:r w:rsidR="00EB0975" w:rsidRPr="00AF3358">
        <w:rPr>
          <w:rFonts w:hint="cs"/>
          <w:cs/>
        </w:rPr>
        <w:t>(หรือระยะเวลาอื่นใดที่กฎหมายที่เกี่ยวข้องกับ</w:t>
      </w:r>
      <w:r w:rsidR="00EB0975" w:rsidRPr="00AF3358">
        <w:rPr>
          <w:cs/>
        </w:rPr>
        <w:t>สิทธิประโยชน์ทางภาษีและค่าธรรมเนียมจากการแปลงสภาพ</w:t>
      </w:r>
      <w:r w:rsidR="00EB0975" w:rsidRPr="00AF3358">
        <w:rPr>
          <w:rFonts w:hint="cs"/>
          <w:cs/>
        </w:rPr>
        <w:t>จะได้กำหนดให้สิทธิประโยชน์หรือขยายระยะเวลาออกไป</w:t>
      </w:r>
      <w:r w:rsidR="008E47F2" w:rsidRPr="00AF3358">
        <w:rPr>
          <w:rStyle w:val="FootnoteReference"/>
          <w:cs/>
        </w:rPr>
        <w:footnoteReference w:id="7"/>
      </w:r>
      <w:r w:rsidR="00EB0975" w:rsidRPr="00AF3358">
        <w:rPr>
          <w:rFonts w:hint="cs"/>
          <w:cs/>
        </w:rPr>
        <w:t>)</w:t>
      </w:r>
      <w:r w:rsidR="00EB0975" w:rsidRPr="00AF3358">
        <w:t xml:space="preserve"> </w:t>
      </w:r>
      <w:r w:rsidR="00EB0975" w:rsidRPr="00AF3358">
        <w:rPr>
          <w:cs/>
        </w:rPr>
        <w:t xml:space="preserve">และเป็นเหตุให้กองทุนรวม </w:t>
      </w:r>
      <w:r w:rsidR="00EB0975" w:rsidRPr="00AF3358">
        <w:t xml:space="preserve">BKKCP </w:t>
      </w:r>
      <w:r w:rsidR="00EB0975" w:rsidRPr="00AF3358">
        <w:rPr>
          <w:cs/>
        </w:rPr>
        <w:t xml:space="preserve">และผู้ถือหน่วยลงทุนไม่ได้รับสิทธิประโยชน์ทางภาษีและค่าธรรมเนียมจากการแปลงสภาพดังกล่าว กองทุนรวม </w:t>
      </w:r>
      <w:r w:rsidR="00EB0975" w:rsidRPr="00AF3358">
        <w:t xml:space="preserve">BKKCP </w:t>
      </w:r>
      <w:r w:rsidR="00EB0975" w:rsidRPr="00AF3358">
        <w:rPr>
          <w:rFonts w:hint="cs"/>
          <w:cs/>
        </w:rPr>
        <w:t>โดยบริษัทจัดการ</w:t>
      </w:r>
      <w:r w:rsidR="00EB0975" w:rsidRPr="00AF3358">
        <w:rPr>
          <w:cs/>
        </w:rPr>
        <w:t xml:space="preserve">ขอสงวนสิทธิที่จะไม่ดำเนินการแปลงสภาพกองทุนรวม </w:t>
      </w:r>
      <w:r w:rsidR="00EB0975" w:rsidRPr="00AF3358">
        <w:t>BKKCP</w:t>
      </w:r>
    </w:p>
    <w:p w14:paraId="56BA4CA4" w14:textId="77777777" w:rsidR="00EE6373" w:rsidRPr="00AF3358" w:rsidRDefault="00EE6373" w:rsidP="00EE6373">
      <w:pPr>
        <w:ind w:firstLine="0"/>
        <w:rPr>
          <w:cs/>
        </w:rPr>
      </w:pPr>
    </w:p>
    <w:p w14:paraId="3C41F4A9" w14:textId="33A30C69" w:rsidR="005C5DA8" w:rsidRPr="005C5DA8" w:rsidRDefault="005C5DA8" w:rsidP="001A4447">
      <w:pPr>
        <w:ind w:firstLine="0"/>
      </w:pPr>
      <w:r w:rsidRPr="00AF3358">
        <w:rPr>
          <w:rFonts w:hint="cs"/>
          <w:cs/>
        </w:rPr>
        <w:t>ภายหลังจากสำนักงาน ก.ล.ต.</w:t>
      </w:r>
      <w:r w:rsidR="00E115D9" w:rsidRPr="00AF3358">
        <w:rPr>
          <w:rFonts w:hint="cs"/>
          <w:cs/>
        </w:rPr>
        <w:t xml:space="preserve"> </w:t>
      </w:r>
      <w:r w:rsidRPr="00AF3358">
        <w:rPr>
          <w:rFonts w:hint="cs"/>
          <w:cs/>
        </w:rPr>
        <w:t>ได้อนุญาตให้</w:t>
      </w:r>
      <w:r w:rsidR="00E115D9" w:rsidRPr="00AF3358">
        <w:rPr>
          <w:rFonts w:hint="cs"/>
          <w:cs/>
        </w:rPr>
        <w:t>ผู้ก่อตั้งทรัสต์</w:t>
      </w:r>
      <w:r w:rsidRPr="00AF3358">
        <w:rPr>
          <w:rFonts w:hint="cs"/>
          <w:cs/>
        </w:rPr>
        <w:t xml:space="preserve">ออกและเสนอขายหน่วยทรัสต์ให้แก่กองทุนรวม </w:t>
      </w:r>
      <w:r w:rsidR="008C24A7" w:rsidRPr="00AF3358">
        <w:t>BKKCP</w:t>
      </w:r>
      <w:r w:rsidRPr="00AF3358">
        <w:t xml:space="preserve"> </w:t>
      </w:r>
      <w:r w:rsidRPr="00AF3358">
        <w:rPr>
          <w:rFonts w:hint="cs"/>
          <w:cs/>
        </w:rPr>
        <w:t xml:space="preserve">เพื่อรองรับการแปลงสภาพกองทุนรวม </w:t>
      </w:r>
      <w:r w:rsidR="008C24A7" w:rsidRPr="00AF3358">
        <w:t>BKKCP</w:t>
      </w:r>
      <w:r w:rsidRPr="00AF3358">
        <w:t xml:space="preserve"> </w:t>
      </w:r>
      <w:r w:rsidRPr="00AF3358">
        <w:rPr>
          <w:rFonts w:hint="cs"/>
          <w:cs/>
        </w:rPr>
        <w:t xml:space="preserve">บริษัทจัดการจะเริ่มดำเนินการแปลงสภาพกองทุนรวม </w:t>
      </w:r>
      <w:r w:rsidR="008C24A7" w:rsidRPr="00AF3358">
        <w:t>BKKCP</w:t>
      </w:r>
      <w:r w:rsidRPr="00AF3358">
        <w:t xml:space="preserve"> </w:t>
      </w:r>
      <w:r w:rsidRPr="00AF3358">
        <w:rPr>
          <w:rFonts w:hint="cs"/>
          <w:cs/>
        </w:rPr>
        <w:t xml:space="preserve">ทันที ซึ่งคาดว่ากำหนดวันโอนทรัพย์สินและภาระของกองทุนรวม </w:t>
      </w:r>
      <w:r w:rsidR="008C24A7" w:rsidRPr="00AF3358">
        <w:t>BKKCP</w:t>
      </w:r>
      <w:r w:rsidRPr="00AF3358">
        <w:t xml:space="preserve"> </w:t>
      </w:r>
      <w:r w:rsidRPr="00AF3358">
        <w:rPr>
          <w:rFonts w:hint="cs"/>
          <w:cs/>
        </w:rPr>
        <w:t xml:space="preserve">ให้แก่กองทรัสต์ </w:t>
      </w:r>
      <w:r w:rsidR="008C24A7" w:rsidRPr="00AF3358">
        <w:t xml:space="preserve">ISSARA </w:t>
      </w:r>
      <w:r w:rsidRPr="00AF3358">
        <w:rPr>
          <w:rFonts w:hint="cs"/>
          <w:cs/>
        </w:rPr>
        <w:t xml:space="preserve">จะอยู่ภายในช่วงไตรมาสที่ </w:t>
      </w:r>
      <w:r w:rsidR="008C24A7" w:rsidRPr="00AF3358">
        <w:t>4</w:t>
      </w:r>
      <w:r w:rsidRPr="00AF3358">
        <w:rPr>
          <w:rFonts w:hint="cs"/>
          <w:cs/>
        </w:rPr>
        <w:t xml:space="preserve"> ของปี </w:t>
      </w:r>
      <w:r w:rsidRPr="00AF3358">
        <w:t>2567</w:t>
      </w:r>
      <w:r w:rsidRPr="005C5DA8">
        <w:rPr>
          <w:rFonts w:hint="cs"/>
          <w:cs/>
        </w:rPr>
        <w:t xml:space="preserve"> </w:t>
      </w:r>
    </w:p>
    <w:p w14:paraId="7081338E" w14:textId="77777777" w:rsidR="00F517FD" w:rsidRPr="008E32C3" w:rsidRDefault="00F517FD" w:rsidP="00321075"/>
    <w:p w14:paraId="4E3A8655" w14:textId="77777777" w:rsidR="00B707FB" w:rsidRPr="00CE0113" w:rsidRDefault="00B707FB" w:rsidP="008A334A">
      <w:pPr>
        <w:rPr>
          <w:cs/>
        </w:rPr>
      </w:pPr>
    </w:p>
    <w:sectPr w:rsidR="00B707FB" w:rsidRPr="00CE0113" w:rsidSect="007254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936D7" w14:textId="77777777" w:rsidR="00BF0487" w:rsidRDefault="00BF0487" w:rsidP="00246947">
      <w:r>
        <w:separator/>
      </w:r>
    </w:p>
  </w:endnote>
  <w:endnote w:type="continuationSeparator" w:id="0">
    <w:p w14:paraId="2CCB1344" w14:textId="77777777" w:rsidR="00BF0487" w:rsidRDefault="00BF0487" w:rsidP="00246947">
      <w:r>
        <w:continuationSeparator/>
      </w:r>
    </w:p>
  </w:endnote>
  <w:endnote w:type="continuationNotice" w:id="1">
    <w:p w14:paraId="2039586B" w14:textId="77777777" w:rsidR="00BF0487" w:rsidRDefault="00BF0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0630" w14:textId="77777777" w:rsidR="007A378C" w:rsidRDefault="007A3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7439C4F0" w:rsidR="0001726B" w:rsidRPr="007254A3" w:rsidRDefault="0001726B" w:rsidP="007254A3">
    <w:pPr>
      <w:pStyle w:val="Footer"/>
      <w:ind w:hanging="720"/>
      <w:jc w:val="center"/>
      <w:rPr>
        <w:rFonts w:asciiTheme="minorBidi" w:hAnsiTheme="minorBidi" w:cstheme="minorBidi"/>
      </w:rPr>
    </w:pPr>
    <w:r w:rsidRPr="007254A3">
      <w:rPr>
        <w:rFonts w:asciiTheme="minorBidi" w:hAnsiTheme="minorBidi" w:cstheme="minorBidi"/>
        <w:cs/>
      </w:rPr>
      <w:t xml:space="preserve">ส่วนที่ </w:t>
    </w:r>
    <w:r w:rsidRPr="007254A3">
      <w:rPr>
        <w:rFonts w:asciiTheme="minorBidi" w:hAnsiTheme="minorBidi" w:cstheme="minorBidi"/>
      </w:rPr>
      <w:t>2</w:t>
    </w:r>
    <w:r w:rsidR="00D369E1" w:rsidRPr="007254A3">
      <w:rPr>
        <w:rFonts w:asciiTheme="minorBidi" w:hAnsiTheme="minorBidi" w:cstheme="minorBidi"/>
      </w:rPr>
      <w:t>.1</w:t>
    </w:r>
    <w:r w:rsidRPr="007254A3">
      <w:rPr>
        <w:rFonts w:asciiTheme="minorBidi" w:hAnsiTheme="minorBidi" w:cstheme="minorBidi"/>
        <w:cs/>
      </w:rPr>
      <w:t xml:space="preserve"> หน้า </w:t>
    </w:r>
    <w:r w:rsidR="003263F8" w:rsidRPr="007254A3">
      <w:rPr>
        <w:rFonts w:asciiTheme="minorBidi" w:hAnsiTheme="minorBidi" w:cstheme="minorBidi"/>
      </w:rPr>
      <w:t>4</w:t>
    </w:r>
    <w:r w:rsidRPr="007254A3">
      <w:rPr>
        <w:rFonts w:asciiTheme="minorBidi" w:hAnsiTheme="minorBidi" w:cstheme="minorBidi"/>
        <w:cs/>
      </w:rPr>
      <w:t xml:space="preserve"> -</w:t>
    </w:r>
    <w:sdt>
      <w:sdtPr>
        <w:rPr>
          <w:rFonts w:asciiTheme="minorBidi" w:hAnsiTheme="minorBidi" w:cstheme="minorBidi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AC7076">
          <w:rPr>
            <w:rFonts w:asciiTheme="minorBidi" w:hAnsiTheme="minorBidi" w:cstheme="minorBidi"/>
          </w:rPr>
          <w:t xml:space="preserve"> </w:t>
        </w:r>
        <w:r w:rsidRPr="007254A3">
          <w:rPr>
            <w:rFonts w:asciiTheme="minorBidi" w:hAnsiTheme="minorBidi" w:cstheme="minorBidi"/>
          </w:rPr>
          <w:fldChar w:fldCharType="begin"/>
        </w:r>
        <w:r w:rsidRPr="007254A3">
          <w:rPr>
            <w:rFonts w:asciiTheme="minorBidi" w:hAnsiTheme="minorBidi" w:cstheme="minorBidi"/>
          </w:rPr>
          <w:instrText xml:space="preserve"> PAGE   \* MERGEFORMAT </w:instrText>
        </w:r>
        <w:r w:rsidRPr="007254A3">
          <w:rPr>
            <w:rFonts w:asciiTheme="minorBidi" w:hAnsiTheme="minorBidi" w:cstheme="minorBidi"/>
          </w:rPr>
          <w:fldChar w:fldCharType="separate"/>
        </w:r>
        <w:r w:rsidRPr="007254A3">
          <w:rPr>
            <w:rFonts w:asciiTheme="minorBidi" w:hAnsiTheme="minorBidi" w:cstheme="minorBidi"/>
            <w:noProof/>
          </w:rPr>
          <w:t>2</w:t>
        </w:r>
        <w:r w:rsidRPr="007254A3">
          <w:rPr>
            <w:rFonts w:asciiTheme="minorBidi" w:hAnsiTheme="minorBidi" w:cstheme="minorBidi"/>
            <w:noProof/>
          </w:rPr>
          <w:fldChar w:fldCharType="end"/>
        </w:r>
      </w:sdtContent>
    </w:sdt>
  </w:p>
  <w:p w14:paraId="4C974F1C" w14:textId="22C9A0DF" w:rsidR="00735733" w:rsidRDefault="00735733" w:rsidP="007254A3">
    <w:pPr>
      <w:pStyle w:val="Footer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C0EF" w14:textId="77777777" w:rsidR="007A378C" w:rsidRDefault="007A3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BB0B" w14:textId="77777777" w:rsidR="00BF0487" w:rsidRDefault="00BF0487" w:rsidP="00246947">
      <w:r>
        <w:separator/>
      </w:r>
    </w:p>
  </w:footnote>
  <w:footnote w:type="continuationSeparator" w:id="0">
    <w:p w14:paraId="42866265" w14:textId="77777777" w:rsidR="00BF0487" w:rsidRDefault="00BF0487" w:rsidP="00246947">
      <w:r>
        <w:continuationSeparator/>
      </w:r>
    </w:p>
  </w:footnote>
  <w:footnote w:type="continuationNotice" w:id="1">
    <w:p w14:paraId="2DEC55EC" w14:textId="77777777" w:rsidR="00BF0487" w:rsidRDefault="00BF0487"/>
  </w:footnote>
  <w:footnote w:id="2">
    <w:p w14:paraId="7D4F54C8" w14:textId="2C2D3D24" w:rsidR="00CE0113" w:rsidRPr="009645D6" w:rsidRDefault="00CE0113" w:rsidP="00CE0113">
      <w:pPr>
        <w:pStyle w:val="FootnoteText"/>
        <w:rPr>
          <w:rFonts w:cs="Cordia New"/>
          <w:lang w:val="en-US"/>
        </w:rPr>
      </w:pPr>
      <w:r w:rsidRPr="0025339A">
        <w:rPr>
          <w:rStyle w:val="FootnoteReference"/>
          <w:rFonts w:eastAsia="Calibri"/>
        </w:rPr>
        <w:footnoteRef/>
      </w:r>
      <w:r w:rsidRPr="0025339A">
        <w:rPr>
          <w:rFonts w:cs="Cordia New"/>
        </w:rPr>
        <w:t xml:space="preserve"> </w:t>
      </w:r>
      <w:r w:rsidRPr="0025339A">
        <w:rPr>
          <w:rFonts w:cs="Cordia New"/>
          <w:cs/>
        </w:rPr>
        <w:t xml:space="preserve">ข้อมูลอัตราภาษี </w:t>
      </w:r>
      <w:r w:rsidR="005C52C0" w:rsidRPr="00692A12">
        <w:rPr>
          <w:rFonts w:cs="Cordia New"/>
          <w:cs/>
        </w:rPr>
        <w:t xml:space="preserve">ณ เดือนมิถุนายน </w:t>
      </w:r>
      <w:r w:rsidR="00384183">
        <w:rPr>
          <w:rFonts w:cs="Cordia New"/>
        </w:rPr>
        <w:t>2567</w:t>
      </w:r>
    </w:p>
  </w:footnote>
  <w:footnote w:id="3">
    <w:p w14:paraId="5951F9CD" w14:textId="77777777" w:rsidR="00ED064F" w:rsidRPr="001A4447" w:rsidRDefault="00ED064F" w:rsidP="00ED064F">
      <w:pPr>
        <w:pStyle w:val="FootnoteText"/>
        <w:rPr>
          <w:rFonts w:cs="Cordia New"/>
          <w:sz w:val="20"/>
        </w:rPr>
      </w:pPr>
      <w:r w:rsidRPr="001A4447">
        <w:rPr>
          <w:rStyle w:val="FootnoteReference"/>
          <w:rFonts w:cs="Cordia New"/>
          <w:sz w:val="20"/>
        </w:rPr>
        <w:footnoteRef/>
      </w:r>
      <w:r w:rsidRPr="001A4447">
        <w:rPr>
          <w:rFonts w:cs="Cordia New"/>
          <w:sz w:val="20"/>
        </w:rPr>
        <w:t xml:space="preserve"> </w:t>
      </w:r>
      <w:r w:rsidRPr="001A4447">
        <w:rPr>
          <w:rFonts w:cs="Cordia New"/>
          <w:sz w:val="20"/>
          <w:cs/>
        </w:rPr>
        <w:t xml:space="preserve">ข้อมูลอัตราภาษี ณ เดือนมิถุนายน </w:t>
      </w:r>
      <w:r w:rsidRPr="001A4447">
        <w:rPr>
          <w:rFonts w:cs="Cordia New"/>
          <w:sz w:val="20"/>
        </w:rPr>
        <w:t>2567</w:t>
      </w:r>
    </w:p>
    <w:p w14:paraId="11C090FF" w14:textId="77DEE3C9" w:rsidR="00F57D04" w:rsidRPr="00172063" w:rsidRDefault="00F57D04" w:rsidP="00ED064F">
      <w:pPr>
        <w:pStyle w:val="FootnoteText"/>
        <w:rPr>
          <w:rFonts w:cs="Cordia New"/>
          <w:sz w:val="24"/>
          <w:szCs w:val="24"/>
          <w:lang w:val="en-US"/>
        </w:rPr>
      </w:pPr>
      <w:r w:rsidRPr="001A4447">
        <w:rPr>
          <w:rFonts w:cs="Cordia New"/>
          <w:sz w:val="20"/>
          <w:vertAlign w:val="superscript"/>
          <w:lang w:val="en-US"/>
        </w:rPr>
        <w:t xml:space="preserve">3 </w:t>
      </w:r>
      <w:r w:rsidRPr="001A4447">
        <w:rPr>
          <w:rFonts w:cs="Cordia New"/>
          <w:sz w:val="20"/>
          <w:cs/>
        </w:rPr>
        <w:t xml:space="preserve">พระราชกฤษฎีกาออกตามความในประมวลรัษฎากรว่าด้วยการยกเว้นรัษฎากร (ฉบับที่ </w:t>
      </w:r>
      <w:r w:rsidRPr="001A4447">
        <w:rPr>
          <w:rFonts w:cs="Cordia New"/>
          <w:sz w:val="20"/>
        </w:rPr>
        <w:t>763</w:t>
      </w:r>
      <w:r w:rsidRPr="001A4447">
        <w:rPr>
          <w:rFonts w:cs="Cordia New"/>
          <w:sz w:val="20"/>
          <w:cs/>
        </w:rPr>
        <w:t xml:space="preserve">) พ.ศ. </w:t>
      </w:r>
      <w:r w:rsidRPr="001A4447">
        <w:rPr>
          <w:rFonts w:cs="Cordia New"/>
          <w:sz w:val="20"/>
          <w:lang w:val="en-US"/>
        </w:rPr>
        <w:t>2566</w:t>
      </w:r>
      <w:r w:rsidRPr="001A4447">
        <w:rPr>
          <w:rFonts w:cs="Cordia New"/>
          <w:sz w:val="20"/>
          <w:cs/>
        </w:rPr>
        <w:t xml:space="preserve"> ประกาศ ณ วันที่ </w:t>
      </w:r>
      <w:r w:rsidRPr="001A4447">
        <w:rPr>
          <w:rFonts w:cs="Cordia New"/>
          <w:sz w:val="20"/>
          <w:lang w:val="en-US"/>
        </w:rPr>
        <w:t>1</w:t>
      </w:r>
      <w:r w:rsidRPr="001A4447">
        <w:rPr>
          <w:rFonts w:cs="Cordia New"/>
          <w:sz w:val="20"/>
          <w:cs/>
        </w:rPr>
        <w:t xml:space="preserve"> มิถุนายน </w:t>
      </w:r>
      <w:r w:rsidRPr="001A4447">
        <w:rPr>
          <w:rFonts w:cs="Cordia New"/>
          <w:sz w:val="20"/>
          <w:lang w:val="en-US"/>
        </w:rPr>
        <w:t>2566</w:t>
      </w:r>
    </w:p>
  </w:footnote>
  <w:footnote w:id="4">
    <w:p w14:paraId="4E404C2C" w14:textId="5DE536D4" w:rsidR="00F57D04" w:rsidRPr="001A4447" w:rsidRDefault="00F57D04" w:rsidP="001A4447">
      <w:pPr>
        <w:pStyle w:val="FootnoteText"/>
        <w:ind w:left="426" w:firstLine="0"/>
        <w:rPr>
          <w:rFonts w:asciiTheme="minorBidi" w:hAnsiTheme="minorBidi" w:cstheme="minorBidi"/>
          <w:sz w:val="20"/>
          <w:lang w:val="en-US"/>
        </w:rPr>
      </w:pPr>
      <w:r w:rsidRPr="001A4447">
        <w:rPr>
          <w:rStyle w:val="FootnoteReference"/>
          <w:rFonts w:asciiTheme="minorBidi" w:hAnsiTheme="minorBidi" w:cstheme="minorBidi"/>
          <w:sz w:val="20"/>
        </w:rPr>
        <w:t>4</w:t>
      </w:r>
      <w:r w:rsidRPr="001A4447">
        <w:rPr>
          <w:rFonts w:asciiTheme="minorBidi" w:hAnsiTheme="minorBidi" w:cstheme="minorBidi"/>
          <w:sz w:val="20"/>
        </w:rPr>
        <w:t xml:space="preserve"> </w:t>
      </w:r>
      <w:r w:rsidRPr="001A4447">
        <w:rPr>
          <w:rFonts w:asciiTheme="minorBidi" w:hAnsiTheme="minorBidi" w:cstheme="minorBidi"/>
          <w:sz w:val="20"/>
          <w:cs/>
        </w:rPr>
        <w:t xml:space="preserve">พระราชกฤษฎีกาออกตามความในประมวลรัษฎากรว่าด้วยการยกเว้นรัษฎากร (ฉบับที่ </w:t>
      </w:r>
      <w:r w:rsidRPr="001A4447">
        <w:rPr>
          <w:rFonts w:asciiTheme="minorBidi" w:hAnsiTheme="minorBidi" w:cstheme="minorBidi"/>
          <w:sz w:val="20"/>
        </w:rPr>
        <w:t>763</w:t>
      </w:r>
      <w:r w:rsidRPr="001A4447">
        <w:rPr>
          <w:rFonts w:asciiTheme="minorBidi" w:hAnsiTheme="minorBidi" w:cstheme="minorBidi"/>
          <w:sz w:val="20"/>
          <w:cs/>
        </w:rPr>
        <w:t xml:space="preserve">) พ.ศ. </w:t>
      </w:r>
      <w:r w:rsidRPr="001A4447">
        <w:rPr>
          <w:rFonts w:asciiTheme="minorBidi" w:hAnsiTheme="minorBidi" w:cstheme="minorBidi"/>
          <w:sz w:val="20"/>
          <w:lang w:val="en-US"/>
        </w:rPr>
        <w:t>2566</w:t>
      </w:r>
      <w:r w:rsidRPr="001A4447">
        <w:rPr>
          <w:rFonts w:asciiTheme="minorBidi" w:hAnsiTheme="minorBidi" w:cstheme="minorBidi"/>
          <w:sz w:val="20"/>
          <w:cs/>
        </w:rPr>
        <w:t xml:space="preserve"> ประกาศ ณ วันที่ </w:t>
      </w:r>
      <w:r w:rsidRPr="001A4447">
        <w:rPr>
          <w:rFonts w:asciiTheme="minorBidi" w:hAnsiTheme="minorBidi" w:cstheme="minorBidi"/>
          <w:sz w:val="20"/>
          <w:lang w:val="en-US"/>
        </w:rPr>
        <w:t>1</w:t>
      </w:r>
      <w:r w:rsidRPr="001A4447">
        <w:rPr>
          <w:rFonts w:asciiTheme="minorBidi" w:hAnsiTheme="minorBidi" w:cstheme="minorBidi"/>
          <w:sz w:val="20"/>
          <w:cs/>
        </w:rPr>
        <w:t xml:space="preserve"> มิถุนายน </w:t>
      </w:r>
      <w:r w:rsidRPr="001A4447">
        <w:rPr>
          <w:rFonts w:asciiTheme="minorBidi" w:hAnsiTheme="minorBidi" w:cstheme="minorBidi"/>
          <w:sz w:val="20"/>
          <w:lang w:val="en-US"/>
        </w:rPr>
        <w:t>2566</w:t>
      </w:r>
    </w:p>
  </w:footnote>
  <w:footnote w:id="5">
    <w:p w14:paraId="39F02E84" w14:textId="3D755C53" w:rsidR="00E54A29" w:rsidRPr="001A4447" w:rsidRDefault="00E54A29" w:rsidP="001A4447">
      <w:pPr>
        <w:pStyle w:val="FootnoteText"/>
        <w:ind w:firstLine="426"/>
        <w:rPr>
          <w:rFonts w:asciiTheme="minorBidi" w:hAnsiTheme="minorBidi" w:cstheme="minorBidi"/>
          <w:sz w:val="20"/>
          <w:cs/>
        </w:rPr>
      </w:pPr>
      <w:r w:rsidRPr="001A4447">
        <w:rPr>
          <w:rStyle w:val="FootnoteReference"/>
          <w:rFonts w:asciiTheme="minorBidi" w:hAnsiTheme="minorBidi" w:cstheme="minorBidi"/>
          <w:sz w:val="20"/>
        </w:rPr>
        <w:footnoteRef/>
      </w:r>
      <w:r w:rsidRPr="001A4447">
        <w:rPr>
          <w:rFonts w:asciiTheme="minorBidi" w:hAnsiTheme="minorBidi" w:cstheme="minorBidi"/>
          <w:sz w:val="20"/>
        </w:rPr>
        <w:t xml:space="preserve"> </w:t>
      </w:r>
      <w:r w:rsidRPr="001A4447">
        <w:rPr>
          <w:rFonts w:asciiTheme="minorBidi" w:hAnsiTheme="minorBidi" w:cstheme="minorBidi"/>
          <w:sz w:val="20"/>
          <w:cs/>
          <w:lang w:val="en-US"/>
        </w:rPr>
        <w:t xml:space="preserve">กฎกระทรวงกำหนดค่าธรรมเนียมการจดทะเบียนสิทธิและนิติกรรม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 พ.ศ. </w:t>
      </w:r>
      <w:r w:rsidRPr="001A4447">
        <w:rPr>
          <w:rFonts w:asciiTheme="minorBidi" w:hAnsiTheme="minorBidi" w:cstheme="minorBidi"/>
          <w:sz w:val="20"/>
          <w:lang w:val="en-US"/>
        </w:rPr>
        <w:t>2567</w:t>
      </w:r>
      <w:r w:rsidRPr="001A4447">
        <w:rPr>
          <w:rFonts w:asciiTheme="minorBidi" w:hAnsiTheme="minorBidi" w:cstheme="minorBidi"/>
          <w:sz w:val="20"/>
          <w:cs/>
          <w:lang w:val="en-US"/>
        </w:rPr>
        <w:t xml:space="preserve"> </w:t>
      </w:r>
      <w:r w:rsidRPr="001A4447">
        <w:rPr>
          <w:rFonts w:asciiTheme="minorBidi" w:hAnsiTheme="minorBidi" w:cstheme="minorBidi"/>
          <w:sz w:val="20"/>
          <w:cs/>
        </w:rPr>
        <w:t>ประกาศ ณ วันที่</w:t>
      </w:r>
      <w:r w:rsidRPr="001A4447">
        <w:rPr>
          <w:rFonts w:asciiTheme="minorBidi" w:hAnsiTheme="minorBidi" w:cstheme="minorBidi"/>
          <w:sz w:val="20"/>
        </w:rPr>
        <w:t xml:space="preserve"> 27 </w:t>
      </w:r>
      <w:r w:rsidRPr="001A4447">
        <w:rPr>
          <w:rFonts w:asciiTheme="minorBidi" w:hAnsiTheme="minorBidi" w:cstheme="minorBidi"/>
          <w:sz w:val="20"/>
          <w:cs/>
        </w:rPr>
        <w:t xml:space="preserve">มีนาคม </w:t>
      </w:r>
      <w:r w:rsidRPr="001A4447">
        <w:rPr>
          <w:rFonts w:asciiTheme="minorBidi" w:hAnsiTheme="minorBidi" w:cstheme="minorBidi"/>
          <w:sz w:val="20"/>
        </w:rPr>
        <w:t>256</w:t>
      </w:r>
      <w:r w:rsidRPr="001A4447">
        <w:rPr>
          <w:rFonts w:asciiTheme="minorBidi" w:hAnsiTheme="minorBidi" w:cstheme="minorBidi"/>
          <w:sz w:val="20"/>
          <w:lang w:val="en-US"/>
        </w:rPr>
        <w:t>7</w:t>
      </w:r>
    </w:p>
  </w:footnote>
  <w:footnote w:id="6">
    <w:p w14:paraId="011F528F" w14:textId="62E49215" w:rsidR="008E47F2" w:rsidRDefault="008E47F2">
      <w:pPr>
        <w:pStyle w:val="FootnoteText"/>
        <w:rPr>
          <w:cs/>
        </w:rPr>
      </w:pPr>
      <w:r w:rsidRPr="001A4447">
        <w:rPr>
          <w:rStyle w:val="FootnoteReference"/>
          <w:rFonts w:asciiTheme="minorBidi" w:hAnsiTheme="minorBidi" w:cstheme="minorBidi"/>
          <w:sz w:val="20"/>
        </w:rPr>
        <w:footnoteRef/>
      </w:r>
      <w:r w:rsidRPr="001A4447">
        <w:rPr>
          <w:rFonts w:asciiTheme="minorBidi" w:hAnsiTheme="minorBidi" w:cstheme="minorBidi"/>
          <w:sz w:val="20"/>
        </w:rPr>
        <w:t xml:space="preserve"> </w:t>
      </w:r>
      <w:r w:rsidRPr="001A4447">
        <w:rPr>
          <w:rFonts w:asciiTheme="minorBidi" w:hAnsiTheme="minorBidi" w:cstheme="minorBidi"/>
          <w:sz w:val="20"/>
          <w:cs/>
        </w:rPr>
        <w:t xml:space="preserve">ณ วันที่ </w:t>
      </w:r>
      <w:r w:rsidRPr="001A4447">
        <w:rPr>
          <w:rFonts w:asciiTheme="minorBidi" w:hAnsiTheme="minorBidi" w:cstheme="minorBidi"/>
          <w:sz w:val="20"/>
          <w:lang w:val="en-US"/>
        </w:rPr>
        <w:t xml:space="preserve">3 </w:t>
      </w:r>
      <w:r w:rsidRPr="001A4447">
        <w:rPr>
          <w:rFonts w:asciiTheme="minorBidi" w:hAnsiTheme="minorBidi" w:cstheme="minorBidi"/>
          <w:sz w:val="20"/>
          <w:cs/>
        </w:rPr>
        <w:t xml:space="preserve">ตุลาคม </w:t>
      </w:r>
      <w:r w:rsidRPr="001A4447">
        <w:rPr>
          <w:rFonts w:asciiTheme="minorBidi" w:hAnsiTheme="minorBidi" w:cstheme="minorBidi"/>
          <w:sz w:val="20"/>
          <w:lang w:val="en-US"/>
        </w:rPr>
        <w:t xml:space="preserve">2567 </w:t>
      </w:r>
      <w:r w:rsidRPr="001A4447">
        <w:rPr>
          <w:rFonts w:asciiTheme="minorBidi" w:hAnsiTheme="minorBidi" w:cstheme="minorBidi"/>
          <w:sz w:val="20"/>
          <w:cs/>
        </w:rPr>
        <w:t xml:space="preserve">ยังไม่มีการประกาศบังคับใช้กฎหมายที่เป็นการกำหนดให้สิทธิประโยชน์หรือขยายระยะเวลาเกี่ยวกับสิทธิประโยชน์ทางภาษีและค่าธรรมเนียมจากการแปลงสภาพ สำหรับระยะเวลาภายหลังวันที่ </w:t>
      </w:r>
      <w:r w:rsidRPr="001A4447">
        <w:rPr>
          <w:rFonts w:asciiTheme="minorBidi" w:hAnsiTheme="minorBidi" w:cstheme="minorBidi"/>
          <w:sz w:val="20"/>
          <w:lang w:val="en-US"/>
        </w:rPr>
        <w:t>31</w:t>
      </w:r>
      <w:r w:rsidRPr="001A4447">
        <w:rPr>
          <w:rFonts w:asciiTheme="minorBidi" w:hAnsiTheme="minorBidi" w:cstheme="minorBidi"/>
          <w:sz w:val="20"/>
          <w:cs/>
        </w:rPr>
        <w:t xml:space="preserve"> ธันวาคม </w:t>
      </w:r>
      <w:r w:rsidRPr="001A4447">
        <w:rPr>
          <w:rFonts w:asciiTheme="minorBidi" w:hAnsiTheme="minorBidi" w:cstheme="minorBidi"/>
          <w:sz w:val="20"/>
          <w:lang w:val="en-US"/>
        </w:rPr>
        <w:t>2567</w:t>
      </w:r>
    </w:p>
  </w:footnote>
  <w:footnote w:id="7">
    <w:p w14:paraId="0B41ECD1" w14:textId="7245F945" w:rsidR="008E47F2" w:rsidRDefault="008E47F2">
      <w:pPr>
        <w:pStyle w:val="FootnoteText"/>
        <w:rPr>
          <w:cs/>
        </w:rPr>
      </w:pPr>
      <w:r>
        <w:rPr>
          <w:rStyle w:val="FootnoteReference"/>
        </w:rPr>
        <w:footnoteRef/>
      </w:r>
      <w:r>
        <w:t xml:space="preserve"> </w:t>
      </w:r>
      <w:r w:rsidRPr="001A4447">
        <w:rPr>
          <w:rFonts w:asciiTheme="minorBidi" w:hAnsiTheme="minorBidi" w:cstheme="minorBidi"/>
          <w:sz w:val="20"/>
          <w:cs/>
        </w:rPr>
        <w:t xml:space="preserve">ณ วันที่ </w:t>
      </w:r>
      <w:r w:rsidRPr="001A4447">
        <w:rPr>
          <w:rFonts w:asciiTheme="minorBidi" w:hAnsiTheme="minorBidi" w:cstheme="minorBidi"/>
          <w:sz w:val="20"/>
          <w:lang w:val="en-US"/>
        </w:rPr>
        <w:t xml:space="preserve">3 </w:t>
      </w:r>
      <w:r w:rsidRPr="001A4447">
        <w:rPr>
          <w:rFonts w:asciiTheme="minorBidi" w:hAnsiTheme="minorBidi" w:cstheme="minorBidi"/>
          <w:sz w:val="20"/>
          <w:cs/>
        </w:rPr>
        <w:t xml:space="preserve">ตุลาคม </w:t>
      </w:r>
      <w:r w:rsidRPr="001A4447">
        <w:rPr>
          <w:rFonts w:asciiTheme="minorBidi" w:hAnsiTheme="minorBidi" w:cstheme="minorBidi"/>
          <w:sz w:val="20"/>
          <w:lang w:val="en-US"/>
        </w:rPr>
        <w:t xml:space="preserve">2567 </w:t>
      </w:r>
      <w:r w:rsidRPr="001A4447">
        <w:rPr>
          <w:rFonts w:asciiTheme="minorBidi" w:hAnsiTheme="minorBidi" w:cstheme="minorBidi"/>
          <w:sz w:val="20"/>
          <w:cs/>
        </w:rPr>
        <w:t xml:space="preserve">ยังไม่มีการประกาศบังคับใช้กฎหมายที่เป็นการกำหนดให้สิทธิประโยชน์หรือขยายระยะเวลาเกี่ยวกับสิทธิประโยชน์ทางภาษีและค่าธรรมเนียมจากการแปลงสภาพ สำหรับระยะเวลาภายหลังวันที่ </w:t>
      </w:r>
      <w:r w:rsidRPr="001A4447">
        <w:rPr>
          <w:rFonts w:asciiTheme="minorBidi" w:hAnsiTheme="minorBidi" w:cstheme="minorBidi"/>
          <w:sz w:val="20"/>
          <w:lang w:val="en-US"/>
        </w:rPr>
        <w:t>31</w:t>
      </w:r>
      <w:r w:rsidRPr="001A4447">
        <w:rPr>
          <w:rFonts w:asciiTheme="minorBidi" w:hAnsiTheme="minorBidi" w:cstheme="minorBidi"/>
          <w:sz w:val="20"/>
          <w:cs/>
        </w:rPr>
        <w:t xml:space="preserve"> ธันวาคม </w:t>
      </w:r>
      <w:r w:rsidRPr="001A4447">
        <w:rPr>
          <w:rFonts w:asciiTheme="minorBidi" w:hAnsiTheme="minorBidi" w:cstheme="minorBidi"/>
          <w:sz w:val="20"/>
          <w:lang w:val="en-US"/>
        </w:rPr>
        <w:t>2567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BA2E" w14:textId="77777777" w:rsidR="007A378C" w:rsidRDefault="007A3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B37" w14:textId="77777777" w:rsidR="00831FBC" w:rsidRPr="00831FBC" w:rsidRDefault="00831FBC" w:rsidP="00831FBC">
    <w:pPr>
      <w:pBdr>
        <w:bottom w:val="single" w:sz="4" w:space="1" w:color="auto"/>
      </w:pBdr>
      <w:tabs>
        <w:tab w:val="center" w:pos="4153"/>
        <w:tab w:val="right" w:pos="8306"/>
      </w:tabs>
      <w:ind w:left="0" w:firstLine="0"/>
      <w:jc w:val="right"/>
      <w:rPr>
        <w:rFonts w:asciiTheme="minorBidi" w:hAnsiTheme="minorBidi" w:cstheme="minorBidi"/>
      </w:rPr>
    </w:pPr>
    <w:r w:rsidRPr="00831FBC">
      <w:rPr>
        <w:rFonts w:asciiTheme="minorBidi" w:hAnsiTheme="minorBidi"/>
        <w:cs/>
      </w:rPr>
      <w:t>ทรัสต์เพื่อการลงทุนในอสังหาริมทรัพย์อิสสระ</w:t>
    </w:r>
  </w:p>
  <w:p w14:paraId="21C5FD95" w14:textId="38EF3CF8" w:rsidR="00C52280" w:rsidRPr="00811EAD" w:rsidRDefault="00831FBC" w:rsidP="00831FBC">
    <w:pPr>
      <w:pBdr>
        <w:bottom w:val="single" w:sz="4" w:space="1" w:color="auto"/>
      </w:pBdr>
      <w:tabs>
        <w:tab w:val="center" w:pos="4153"/>
        <w:tab w:val="right" w:pos="8306"/>
      </w:tabs>
      <w:ind w:left="0" w:firstLine="0"/>
      <w:jc w:val="right"/>
      <w:rPr>
        <w:rFonts w:asciiTheme="minorBidi" w:hAnsiTheme="minorBidi" w:cstheme="minorBidi"/>
      </w:rPr>
    </w:pPr>
    <w:r w:rsidRPr="00831FBC">
      <w:rPr>
        <w:rFonts w:asciiTheme="minorBidi" w:hAnsiTheme="minorBidi" w:cstheme="minorBidi"/>
      </w:rPr>
      <w:t xml:space="preserve">Issara Real Estate Investment Trust </w:t>
    </w:r>
  </w:p>
  <w:p w14:paraId="439E13E5" w14:textId="77777777" w:rsidR="00C52280" w:rsidRPr="00811EAD" w:rsidRDefault="00C52280" w:rsidP="00C52280">
    <w:pPr>
      <w:pStyle w:val="Header"/>
      <w:rPr>
        <w:rFonts w:asciiTheme="minorBidi" w:hAnsiTheme="minorBidi"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9F8C" w14:textId="77777777" w:rsidR="007A378C" w:rsidRDefault="007A3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49F"/>
    <w:multiLevelType w:val="multilevel"/>
    <w:tmpl w:val="FB52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A86"/>
    <w:multiLevelType w:val="hybridMultilevel"/>
    <w:tmpl w:val="82EE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746C"/>
    <w:multiLevelType w:val="hybridMultilevel"/>
    <w:tmpl w:val="EDB023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2C86464"/>
    <w:multiLevelType w:val="multilevel"/>
    <w:tmpl w:val="25DE3540"/>
    <w:lvl w:ilvl="0">
      <w:start w:val="5"/>
      <w:numFmt w:val="decimal"/>
      <w:pStyle w:val="Title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00117B"/>
    <w:multiLevelType w:val="hybridMultilevel"/>
    <w:tmpl w:val="C782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20"/>
      </w:rPr>
    </w:lvl>
    <w:lvl w:ilvl="1" w:tplc="EC10C714">
      <w:start w:val="1"/>
      <w:numFmt w:val="decimal"/>
      <w:lvlText w:val="(%2)"/>
      <w:lvlJc w:val="left"/>
      <w:pPr>
        <w:ind w:left="108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40C64"/>
    <w:multiLevelType w:val="hybridMultilevel"/>
    <w:tmpl w:val="31C2511C"/>
    <w:lvl w:ilvl="0" w:tplc="F60CE9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D4594"/>
    <w:multiLevelType w:val="hybridMultilevel"/>
    <w:tmpl w:val="25E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B45B8"/>
    <w:multiLevelType w:val="hybridMultilevel"/>
    <w:tmpl w:val="6CD0E946"/>
    <w:lvl w:ilvl="0" w:tplc="BECE5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0342"/>
    <w:multiLevelType w:val="multilevel"/>
    <w:tmpl w:val="D204A1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360" w:hanging="360"/>
      </w:p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DE33C3"/>
    <w:multiLevelType w:val="hybridMultilevel"/>
    <w:tmpl w:val="0822496E"/>
    <w:lvl w:ilvl="0" w:tplc="C65421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890E62"/>
    <w:multiLevelType w:val="hybridMultilevel"/>
    <w:tmpl w:val="01BA9F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39936">
    <w:abstractNumId w:val="7"/>
  </w:num>
  <w:num w:numId="2" w16cid:durableId="78186525">
    <w:abstractNumId w:val="0"/>
  </w:num>
  <w:num w:numId="3" w16cid:durableId="1840267295">
    <w:abstractNumId w:val="11"/>
  </w:num>
  <w:num w:numId="4" w16cid:durableId="431631269">
    <w:abstractNumId w:val="9"/>
  </w:num>
  <w:num w:numId="5" w16cid:durableId="1765302045">
    <w:abstractNumId w:val="1"/>
  </w:num>
  <w:num w:numId="6" w16cid:durableId="358046599">
    <w:abstractNumId w:val="2"/>
  </w:num>
  <w:num w:numId="7" w16cid:durableId="1853715124">
    <w:abstractNumId w:val="8"/>
  </w:num>
  <w:num w:numId="8" w16cid:durableId="1407648257">
    <w:abstractNumId w:val="4"/>
  </w:num>
  <w:num w:numId="9" w16cid:durableId="1816872487">
    <w:abstractNumId w:val="6"/>
  </w:num>
  <w:num w:numId="10" w16cid:durableId="1673415072">
    <w:abstractNumId w:val="14"/>
  </w:num>
  <w:num w:numId="11" w16cid:durableId="1161042677">
    <w:abstractNumId w:val="3"/>
  </w:num>
  <w:num w:numId="12" w16cid:durableId="1723485129">
    <w:abstractNumId w:val="5"/>
  </w:num>
  <w:num w:numId="13" w16cid:durableId="628052967">
    <w:abstractNumId w:val="13"/>
  </w:num>
  <w:num w:numId="14" w16cid:durableId="135463959">
    <w:abstractNumId w:val="10"/>
  </w:num>
  <w:num w:numId="15" w16cid:durableId="1396859881">
    <w:abstractNumId w:val="15"/>
  </w:num>
  <w:num w:numId="16" w16cid:durableId="1049263160">
    <w:abstractNumId w:val="12"/>
  </w:num>
  <w:num w:numId="17" w16cid:durableId="509877581">
    <w:abstractNumId w:val="15"/>
  </w:num>
  <w:num w:numId="18" w16cid:durableId="1643925263">
    <w:abstractNumId w:val="15"/>
  </w:num>
  <w:num w:numId="19" w16cid:durableId="1444037089">
    <w:abstractNumId w:val="15"/>
  </w:num>
  <w:num w:numId="20" w16cid:durableId="460343637">
    <w:abstractNumId w:val="17"/>
  </w:num>
  <w:num w:numId="21" w16cid:durableId="295008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10114"/>
    <w:rsid w:val="0001726B"/>
    <w:rsid w:val="000272F6"/>
    <w:rsid w:val="0004760D"/>
    <w:rsid w:val="00061ED0"/>
    <w:rsid w:val="00067BF5"/>
    <w:rsid w:val="00077273"/>
    <w:rsid w:val="00086A76"/>
    <w:rsid w:val="00093D7D"/>
    <w:rsid w:val="000A2456"/>
    <w:rsid w:val="000A64C7"/>
    <w:rsid w:val="000B59C9"/>
    <w:rsid w:val="000D5DBB"/>
    <w:rsid w:val="000E6FB1"/>
    <w:rsid w:val="000F304C"/>
    <w:rsid w:val="000F54EB"/>
    <w:rsid w:val="0011074A"/>
    <w:rsid w:val="00122BAA"/>
    <w:rsid w:val="00140ED8"/>
    <w:rsid w:val="001529E9"/>
    <w:rsid w:val="00170DA3"/>
    <w:rsid w:val="001713C7"/>
    <w:rsid w:val="00182F40"/>
    <w:rsid w:val="0019220A"/>
    <w:rsid w:val="00195038"/>
    <w:rsid w:val="001A4447"/>
    <w:rsid w:val="001A46AD"/>
    <w:rsid w:val="001B5456"/>
    <w:rsid w:val="001D4A9A"/>
    <w:rsid w:val="002034E4"/>
    <w:rsid w:val="0021620F"/>
    <w:rsid w:val="00216EF4"/>
    <w:rsid w:val="00225B48"/>
    <w:rsid w:val="00227F4D"/>
    <w:rsid w:val="00234B7E"/>
    <w:rsid w:val="00246947"/>
    <w:rsid w:val="00267478"/>
    <w:rsid w:val="0027104A"/>
    <w:rsid w:val="002801CC"/>
    <w:rsid w:val="00285FD7"/>
    <w:rsid w:val="00291704"/>
    <w:rsid w:val="002975B2"/>
    <w:rsid w:val="002A5087"/>
    <w:rsid w:val="002A5D41"/>
    <w:rsid w:val="002C0C9E"/>
    <w:rsid w:val="002E0293"/>
    <w:rsid w:val="002E743C"/>
    <w:rsid w:val="002F1258"/>
    <w:rsid w:val="00300844"/>
    <w:rsid w:val="00304368"/>
    <w:rsid w:val="003156DF"/>
    <w:rsid w:val="003208EF"/>
    <w:rsid w:val="00321075"/>
    <w:rsid w:val="0032397F"/>
    <w:rsid w:val="003263F8"/>
    <w:rsid w:val="0032795B"/>
    <w:rsid w:val="00331153"/>
    <w:rsid w:val="00333EFD"/>
    <w:rsid w:val="00334CB5"/>
    <w:rsid w:val="003379A3"/>
    <w:rsid w:val="0034149F"/>
    <w:rsid w:val="0034160D"/>
    <w:rsid w:val="00343564"/>
    <w:rsid w:val="00346424"/>
    <w:rsid w:val="0035080A"/>
    <w:rsid w:val="0035527A"/>
    <w:rsid w:val="00357495"/>
    <w:rsid w:val="0038046E"/>
    <w:rsid w:val="00384183"/>
    <w:rsid w:val="003A1DB0"/>
    <w:rsid w:val="003A3E25"/>
    <w:rsid w:val="003D14E2"/>
    <w:rsid w:val="003E0E48"/>
    <w:rsid w:val="003F07C9"/>
    <w:rsid w:val="00403657"/>
    <w:rsid w:val="00405096"/>
    <w:rsid w:val="004304E9"/>
    <w:rsid w:val="00432E87"/>
    <w:rsid w:val="0043626C"/>
    <w:rsid w:val="00440A97"/>
    <w:rsid w:val="00445062"/>
    <w:rsid w:val="0044691B"/>
    <w:rsid w:val="00454B02"/>
    <w:rsid w:val="00454CBC"/>
    <w:rsid w:val="0045625B"/>
    <w:rsid w:val="00481FB2"/>
    <w:rsid w:val="00483CF6"/>
    <w:rsid w:val="00493491"/>
    <w:rsid w:val="00495817"/>
    <w:rsid w:val="004B26CE"/>
    <w:rsid w:val="004B5B98"/>
    <w:rsid w:val="004B62F7"/>
    <w:rsid w:val="004D70D2"/>
    <w:rsid w:val="005222B8"/>
    <w:rsid w:val="005469AF"/>
    <w:rsid w:val="005507A1"/>
    <w:rsid w:val="00561E16"/>
    <w:rsid w:val="00566C69"/>
    <w:rsid w:val="005712C0"/>
    <w:rsid w:val="0059440A"/>
    <w:rsid w:val="005A0BE0"/>
    <w:rsid w:val="005A6D98"/>
    <w:rsid w:val="005A7460"/>
    <w:rsid w:val="005C2F48"/>
    <w:rsid w:val="005C52C0"/>
    <w:rsid w:val="005C5512"/>
    <w:rsid w:val="005C5DA8"/>
    <w:rsid w:val="005D2AEF"/>
    <w:rsid w:val="005D473F"/>
    <w:rsid w:val="005F2E87"/>
    <w:rsid w:val="006042E4"/>
    <w:rsid w:val="0061394E"/>
    <w:rsid w:val="006259D7"/>
    <w:rsid w:val="00631DB7"/>
    <w:rsid w:val="00634747"/>
    <w:rsid w:val="00640BF2"/>
    <w:rsid w:val="0067173B"/>
    <w:rsid w:val="006719F3"/>
    <w:rsid w:val="00676C3D"/>
    <w:rsid w:val="00677BAF"/>
    <w:rsid w:val="00682338"/>
    <w:rsid w:val="00684560"/>
    <w:rsid w:val="006911DA"/>
    <w:rsid w:val="00692A12"/>
    <w:rsid w:val="00692CDC"/>
    <w:rsid w:val="0069732D"/>
    <w:rsid w:val="006A0E8B"/>
    <w:rsid w:val="006A16A6"/>
    <w:rsid w:val="006A2D0A"/>
    <w:rsid w:val="006A4F36"/>
    <w:rsid w:val="006B0F94"/>
    <w:rsid w:val="006D28CB"/>
    <w:rsid w:val="006D7C5B"/>
    <w:rsid w:val="006E3576"/>
    <w:rsid w:val="006F5561"/>
    <w:rsid w:val="006F57B3"/>
    <w:rsid w:val="0070333C"/>
    <w:rsid w:val="0071079B"/>
    <w:rsid w:val="0071256A"/>
    <w:rsid w:val="007254A3"/>
    <w:rsid w:val="007272EA"/>
    <w:rsid w:val="00733661"/>
    <w:rsid w:val="00733A60"/>
    <w:rsid w:val="00735733"/>
    <w:rsid w:val="00752586"/>
    <w:rsid w:val="00760019"/>
    <w:rsid w:val="00773FBA"/>
    <w:rsid w:val="00774917"/>
    <w:rsid w:val="007807B4"/>
    <w:rsid w:val="00783EF3"/>
    <w:rsid w:val="007926BC"/>
    <w:rsid w:val="00795254"/>
    <w:rsid w:val="007A378C"/>
    <w:rsid w:val="007A7828"/>
    <w:rsid w:val="007B187A"/>
    <w:rsid w:val="007B680B"/>
    <w:rsid w:val="007D612B"/>
    <w:rsid w:val="007F7336"/>
    <w:rsid w:val="00805C09"/>
    <w:rsid w:val="008064DF"/>
    <w:rsid w:val="00811EAD"/>
    <w:rsid w:val="00816D11"/>
    <w:rsid w:val="00824EAC"/>
    <w:rsid w:val="00831FBC"/>
    <w:rsid w:val="0083239F"/>
    <w:rsid w:val="008359D1"/>
    <w:rsid w:val="00844375"/>
    <w:rsid w:val="0084453B"/>
    <w:rsid w:val="00846C5C"/>
    <w:rsid w:val="00851BB9"/>
    <w:rsid w:val="00852B3E"/>
    <w:rsid w:val="0085363F"/>
    <w:rsid w:val="00862A60"/>
    <w:rsid w:val="008637F2"/>
    <w:rsid w:val="00883032"/>
    <w:rsid w:val="00886BFD"/>
    <w:rsid w:val="008909AB"/>
    <w:rsid w:val="008A20B9"/>
    <w:rsid w:val="008A334A"/>
    <w:rsid w:val="008A597C"/>
    <w:rsid w:val="008B28DA"/>
    <w:rsid w:val="008C05C0"/>
    <w:rsid w:val="008C24A7"/>
    <w:rsid w:val="008D17A0"/>
    <w:rsid w:val="008D3C83"/>
    <w:rsid w:val="008D6EB3"/>
    <w:rsid w:val="008E1E2D"/>
    <w:rsid w:val="008E430C"/>
    <w:rsid w:val="008E47F2"/>
    <w:rsid w:val="008E6B9C"/>
    <w:rsid w:val="008F32A7"/>
    <w:rsid w:val="00900837"/>
    <w:rsid w:val="00901145"/>
    <w:rsid w:val="0090580A"/>
    <w:rsid w:val="00920DAD"/>
    <w:rsid w:val="0093477D"/>
    <w:rsid w:val="00943F58"/>
    <w:rsid w:val="00950942"/>
    <w:rsid w:val="00966312"/>
    <w:rsid w:val="00973B3F"/>
    <w:rsid w:val="00981117"/>
    <w:rsid w:val="00983946"/>
    <w:rsid w:val="009904F7"/>
    <w:rsid w:val="00997C97"/>
    <w:rsid w:val="009A2675"/>
    <w:rsid w:val="009A2E76"/>
    <w:rsid w:val="009A3EF9"/>
    <w:rsid w:val="009C532B"/>
    <w:rsid w:val="009D3424"/>
    <w:rsid w:val="009D533C"/>
    <w:rsid w:val="009D735F"/>
    <w:rsid w:val="009F00A4"/>
    <w:rsid w:val="009F7E22"/>
    <w:rsid w:val="00A0018C"/>
    <w:rsid w:val="00A03F33"/>
    <w:rsid w:val="00A173B9"/>
    <w:rsid w:val="00A2506A"/>
    <w:rsid w:val="00A32C5F"/>
    <w:rsid w:val="00A373C1"/>
    <w:rsid w:val="00A40808"/>
    <w:rsid w:val="00A42A7D"/>
    <w:rsid w:val="00A5449D"/>
    <w:rsid w:val="00A81ED6"/>
    <w:rsid w:val="00A83523"/>
    <w:rsid w:val="00A877FD"/>
    <w:rsid w:val="00AA0C7B"/>
    <w:rsid w:val="00AA0FAD"/>
    <w:rsid w:val="00AA488C"/>
    <w:rsid w:val="00AB2923"/>
    <w:rsid w:val="00AB485B"/>
    <w:rsid w:val="00AC1727"/>
    <w:rsid w:val="00AC7076"/>
    <w:rsid w:val="00AD6F29"/>
    <w:rsid w:val="00AF3358"/>
    <w:rsid w:val="00B04AEA"/>
    <w:rsid w:val="00B05D56"/>
    <w:rsid w:val="00B30E1A"/>
    <w:rsid w:val="00B32940"/>
    <w:rsid w:val="00B42FE4"/>
    <w:rsid w:val="00B44FA3"/>
    <w:rsid w:val="00B52D91"/>
    <w:rsid w:val="00B57F57"/>
    <w:rsid w:val="00B6062A"/>
    <w:rsid w:val="00B707FB"/>
    <w:rsid w:val="00B83133"/>
    <w:rsid w:val="00B84AF3"/>
    <w:rsid w:val="00B85AFF"/>
    <w:rsid w:val="00B8684B"/>
    <w:rsid w:val="00B90316"/>
    <w:rsid w:val="00B94F53"/>
    <w:rsid w:val="00B957A4"/>
    <w:rsid w:val="00B9636D"/>
    <w:rsid w:val="00BB3AFC"/>
    <w:rsid w:val="00BE30A4"/>
    <w:rsid w:val="00BE3F00"/>
    <w:rsid w:val="00BE791D"/>
    <w:rsid w:val="00BF0487"/>
    <w:rsid w:val="00C04718"/>
    <w:rsid w:val="00C126C4"/>
    <w:rsid w:val="00C2038F"/>
    <w:rsid w:val="00C473B5"/>
    <w:rsid w:val="00C52280"/>
    <w:rsid w:val="00C52AF6"/>
    <w:rsid w:val="00C5582A"/>
    <w:rsid w:val="00C62603"/>
    <w:rsid w:val="00C85EF7"/>
    <w:rsid w:val="00CA4136"/>
    <w:rsid w:val="00CA6757"/>
    <w:rsid w:val="00CB1D44"/>
    <w:rsid w:val="00CB713A"/>
    <w:rsid w:val="00CC60F7"/>
    <w:rsid w:val="00CC704A"/>
    <w:rsid w:val="00CD3DB7"/>
    <w:rsid w:val="00CE0113"/>
    <w:rsid w:val="00CE4B4A"/>
    <w:rsid w:val="00CF2425"/>
    <w:rsid w:val="00CF7C7C"/>
    <w:rsid w:val="00D01C56"/>
    <w:rsid w:val="00D17614"/>
    <w:rsid w:val="00D261F6"/>
    <w:rsid w:val="00D317EC"/>
    <w:rsid w:val="00D369E1"/>
    <w:rsid w:val="00D42F1B"/>
    <w:rsid w:val="00D634BC"/>
    <w:rsid w:val="00D637E0"/>
    <w:rsid w:val="00D701C0"/>
    <w:rsid w:val="00D85419"/>
    <w:rsid w:val="00D90E29"/>
    <w:rsid w:val="00DA3778"/>
    <w:rsid w:val="00DA6B09"/>
    <w:rsid w:val="00DB481F"/>
    <w:rsid w:val="00DB7C93"/>
    <w:rsid w:val="00DC60E8"/>
    <w:rsid w:val="00E015A0"/>
    <w:rsid w:val="00E115D9"/>
    <w:rsid w:val="00E17F4D"/>
    <w:rsid w:val="00E270FF"/>
    <w:rsid w:val="00E31A19"/>
    <w:rsid w:val="00E3430D"/>
    <w:rsid w:val="00E3591B"/>
    <w:rsid w:val="00E42748"/>
    <w:rsid w:val="00E42CE1"/>
    <w:rsid w:val="00E47F8C"/>
    <w:rsid w:val="00E51D3E"/>
    <w:rsid w:val="00E54A29"/>
    <w:rsid w:val="00E5612A"/>
    <w:rsid w:val="00E61459"/>
    <w:rsid w:val="00E774AB"/>
    <w:rsid w:val="00E87AD7"/>
    <w:rsid w:val="00EA0CF3"/>
    <w:rsid w:val="00EA4E72"/>
    <w:rsid w:val="00EB0975"/>
    <w:rsid w:val="00EB2242"/>
    <w:rsid w:val="00EB2526"/>
    <w:rsid w:val="00EB567B"/>
    <w:rsid w:val="00EC4C2C"/>
    <w:rsid w:val="00ED064F"/>
    <w:rsid w:val="00ED2116"/>
    <w:rsid w:val="00ED5F71"/>
    <w:rsid w:val="00EE6373"/>
    <w:rsid w:val="00EE75A5"/>
    <w:rsid w:val="00F06D4D"/>
    <w:rsid w:val="00F26184"/>
    <w:rsid w:val="00F26A85"/>
    <w:rsid w:val="00F422B5"/>
    <w:rsid w:val="00F44BB9"/>
    <w:rsid w:val="00F45CFA"/>
    <w:rsid w:val="00F46A80"/>
    <w:rsid w:val="00F517FD"/>
    <w:rsid w:val="00F57D04"/>
    <w:rsid w:val="00F7108C"/>
    <w:rsid w:val="00F769D6"/>
    <w:rsid w:val="00F95C11"/>
    <w:rsid w:val="00FA1C62"/>
    <w:rsid w:val="00FB0862"/>
    <w:rsid w:val="00FB12A9"/>
    <w:rsid w:val="00FB400C"/>
    <w:rsid w:val="00FC0B76"/>
    <w:rsid w:val="00FD4785"/>
    <w:rsid w:val="00FD4BCB"/>
    <w:rsid w:val="00FD7036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47"/>
    <w:pPr>
      <w:autoSpaceDE w:val="0"/>
      <w:autoSpaceDN w:val="0"/>
      <w:adjustRightInd w:val="0"/>
      <w:spacing w:after="0" w:line="240" w:lineRule="auto"/>
      <w:ind w:left="720" w:firstLine="504"/>
      <w:jc w:val="thaiDistribute"/>
    </w:pPr>
    <w:rPr>
      <w:rFonts w:ascii="Cordia New" w:hAnsi="Cordia New" w:cs="Cordia New"/>
      <w:color w:val="000000"/>
      <w:kern w:val="0"/>
      <w:sz w:val="28"/>
    </w:rPr>
  </w:style>
  <w:style w:type="paragraph" w:styleId="Heading1">
    <w:name w:val="heading 1"/>
    <w:basedOn w:val="Level1"/>
    <w:next w:val="Normal"/>
    <w:link w:val="Heading1Char"/>
    <w:uiPriority w:val="9"/>
    <w:qFormat/>
    <w:rsid w:val="003263F8"/>
    <w:pPr>
      <w:numPr>
        <w:ilvl w:val="1"/>
        <w:numId w:val="15"/>
      </w:numPr>
      <w:spacing w:before="0" w:after="120"/>
      <w:outlineLvl w:val="0"/>
    </w:pPr>
    <w:rPr>
      <w:rFonts w:asciiTheme="minorBidi" w:hAnsiTheme="minorBid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2456"/>
    <w:pPr>
      <w:numPr>
        <w:ilvl w:val="2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69E1"/>
    <w:pPr>
      <w:numPr>
        <w:ilvl w:val="3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4,Annexure,Bullet List,Bulletr List Paragraph,FooterText,Johan bulletList Paragraph,List Paragraph2,List Paragraph21,Lvl 1 Bullet,Paragraphe de liste1,Parágrafo da Lista1,Párrafo de lista1,numbered,リスト段落1,列出段落,列出段落1,Header 1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aliases w:val="Head 4 Char,Annexure Char,Bullet List Char,Bulletr List Paragraph Char,FooterText Char,Johan bulletList Paragraph Char,List Paragraph2 Char,List Paragraph21 Char,Lvl 1 Bullet Char,Paragraphe de liste1 Char,Parágrafo da Lista1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after="240"/>
      <w:ind w:left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</w:pPr>
    <w:rPr>
      <w:rFonts w:eastAsia="Times New Roman" w:cs="Angsana New"/>
      <w:b/>
      <w:bCs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263F8"/>
    <w:rPr>
      <w:rFonts w:asciiTheme="minorBidi" w:eastAsia="Times New Roman" w:hAnsiTheme="minorBidi"/>
      <w:b/>
      <w:bCs/>
      <w:kern w:val="0"/>
      <w:sz w:val="28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2456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DB7C93"/>
    <w:pPr>
      <w:spacing w:before="100" w:beforeAutospacing="1" w:after="100" w:afterAutospacing="1"/>
      <w:ind w:left="0"/>
    </w:pPr>
    <w:rPr>
      <w:rFonts w:ascii="Tahoma" w:eastAsia="Times New Roman" w:hAnsi="Tahoma" w:cs="Tahoma"/>
      <w:sz w:val="24"/>
      <w:szCs w:val="24"/>
    </w:rPr>
  </w:style>
  <w:style w:type="character" w:styleId="FootnoteReference">
    <w:name w:val="footnote reference"/>
    <w:aliases w:val="อ้างอิงเชิงอรรถ"/>
    <w:uiPriority w:val="99"/>
    <w:rsid w:val="00432E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2E87"/>
    <w:pPr>
      <w:ind w:left="0"/>
    </w:pPr>
    <w:rPr>
      <w:rFonts w:eastAsia="Times New Roman" w:cs="Angsana New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E87"/>
    <w:rPr>
      <w:rFonts w:ascii="Calibri" w:eastAsia="Times New Roman" w:hAnsi="Calibri" w:cs="Angsana New"/>
      <w:kern w:val="0"/>
      <w:sz w:val="18"/>
      <w:szCs w:val="20"/>
      <w:lang w:val="en-GB"/>
      <w14:ligatures w14:val="none"/>
    </w:rPr>
  </w:style>
  <w:style w:type="paragraph" w:customStyle="1" w:styleId="Default">
    <w:name w:val="Default"/>
    <w:rsid w:val="00A81ED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</w:rPr>
  </w:style>
  <w:style w:type="paragraph" w:styleId="Title">
    <w:name w:val="Title"/>
    <w:basedOn w:val="ListParagraph"/>
    <w:next w:val="Normal"/>
    <w:link w:val="TitleChar"/>
    <w:uiPriority w:val="10"/>
    <w:qFormat/>
    <w:rsid w:val="007807B4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autoSpaceDE/>
      <w:autoSpaceDN/>
      <w:adjustRightInd/>
      <w:contextualSpacing w:val="0"/>
      <w:outlineLvl w:val="1"/>
    </w:pPr>
    <w:rPr>
      <w:rFonts w:asciiTheme="minorBidi" w:hAnsiTheme="minorBidi" w:cstheme="minorBid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807B4"/>
    <w:rPr>
      <w:rFonts w:asciiTheme="minorBidi" w:hAnsiTheme="minorBidi"/>
      <w:b/>
      <w:bCs/>
      <w:color w:val="000000"/>
      <w:kern w:val="0"/>
      <w:sz w:val="28"/>
      <w:shd w:val="clear" w:color="auto" w:fill="D9D9D9" w:themeFill="background1" w:themeFillShade="D9"/>
    </w:rPr>
  </w:style>
  <w:style w:type="paragraph" w:styleId="Revision">
    <w:name w:val="Revision"/>
    <w:hidden/>
    <w:uiPriority w:val="99"/>
    <w:semiHidden/>
    <w:rsid w:val="00B44FA3"/>
    <w:pPr>
      <w:spacing w:after="0" w:line="240" w:lineRule="auto"/>
    </w:pPr>
    <w:rPr>
      <w:rFonts w:ascii="Cordia New" w:hAnsi="Cordia New" w:cs="Cordia New"/>
      <w:color w:val="000000"/>
      <w:kern w:val="0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D369E1"/>
    <w:rPr>
      <w:rFonts w:asciiTheme="minorBidi" w:hAnsiTheme="minorBidi" w:cs="Cordia New"/>
      <w:b/>
      <w:bCs/>
      <w:color w:val="000000"/>
      <w:kern w:val="0"/>
      <w:sz w:val="28"/>
    </w:rPr>
  </w:style>
  <w:style w:type="paragraph" w:customStyle="1" w:styleId="Level1">
    <w:name w:val="Level1"/>
    <w:basedOn w:val="Normal"/>
    <w:link w:val="Level1Char"/>
    <w:rsid w:val="00CE0113"/>
    <w:pPr>
      <w:autoSpaceDE/>
      <w:autoSpaceDN/>
      <w:adjustRightInd/>
      <w:spacing w:before="160" w:after="200"/>
      <w:ind w:left="360" w:hanging="360"/>
    </w:pPr>
    <w:rPr>
      <w:rFonts w:eastAsia="Times New Roman" w:cs="Angsana New"/>
      <w:b/>
      <w:bCs/>
      <w:color w:val="auto"/>
      <w:sz w:val="30"/>
      <w:szCs w:val="30"/>
      <w:lang w:val="x-none" w:eastAsia="x-none"/>
      <w14:ligatures w14:val="none"/>
    </w:rPr>
  </w:style>
  <w:style w:type="character" w:customStyle="1" w:styleId="Level1Char">
    <w:name w:val="Level1 Char"/>
    <w:link w:val="Level1"/>
    <w:rsid w:val="00CE0113"/>
    <w:rPr>
      <w:rFonts w:ascii="Cordia New" w:eastAsia="Times New Roman" w:hAnsi="Cordia New" w:cs="Angsana New"/>
      <w:b/>
      <w:bCs/>
      <w:kern w:val="0"/>
      <w:sz w:val="30"/>
      <w:szCs w:val="3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 P r o d u c t i o n ! 5 7 4 7 0 1 0 . 1 < / d o c u m e n t i d >  
     < s e n d e r i d > N A M I T A < / s e n d e r i d >  
     < s e n d e r e m a i l > n a m i t a . t @ m h m - g l o b a l . c o m < / s e n d e r e m a i l >  
     < l a s t m o d i f i e d > 2 0 2 4 - 1 0 - 0 4 T 1 3 : 1 8 : 0 0 . 0 0 0 0 0 0 0 + 0 7 : 0 0 < / l a s t m o d i f i e d >  
     < d a t a b a s e > P r o d u c t i o n 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THMSFQEADVH7-865935787-1398579</_dlc_DocId>
    <TaxCatchAll xmlns="1a3548a6-3541-496d-9683-21ac257f11b2" xsi:nil="true"/>
    <lcf76f155ced4ddcb4097134ff3c332f xmlns="a393022a-91d9-4e96-a4a2-df9dab8c4a50">
      <Terms xmlns="http://schemas.microsoft.com/office/infopath/2007/PartnerControls"/>
    </lcf76f155ced4ddcb4097134ff3c332f>
    <_dlc_DocIdUrl xmlns="1a3548a6-3541-496d-9683-21ac257f11b2">
      <Url>https://charinandassociates.sharepoint.com/sites/fileshare/_layouts/15/DocIdRedir.aspx?ID=THMSFQEADVH7-865935787-1398579</Url>
      <Description>THMSFQEADVH7-865935787-1398579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F5FE93-9667-40BA-8BD9-9125DC12998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0E3E232-6844-484C-9C1D-65F37AC4C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7ACD-FBC3-4965-A6D4-3889ECBFFA3F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543C47-1C32-40E4-9357-BAAC71D61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A37FE0-60C2-4EE7-B2C9-C24920AF14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8</cp:revision>
  <cp:lastPrinted>2024-10-07T14:46:00Z</cp:lastPrinted>
  <dcterms:created xsi:type="dcterms:W3CDTF">2024-10-04T06:18:00Z</dcterms:created>
  <dcterms:modified xsi:type="dcterms:W3CDTF">2024-10-31T06:14:00Z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83034d752844512c67c59e4f6c8a1a6a28a7abafd7b05b1f0f439aa99eb71fdd</vt:lpwstr>
  </property>
  <property fmtid="{D5CDD505-2E9C-101B-9397-08002B2CF9AE}" pid="3" name="ContentTypeId">
    <vt:lpwstr>0x010100CAC56C8D87CB884DA0A4B99C7A2E47E0</vt:lpwstr>
  </property>
  <property fmtid="{D5CDD505-2E9C-101B-9397-08002B2CF9AE}" pid="4" name="_dlc_DocIdItemGuid">
    <vt:lpwstr>6d37a4c2-e599-48f9-b0e4-be249bd4ea48</vt:lpwstr>
  </property>
  <property fmtid="{D5CDD505-2E9C-101B-9397-08002B2CF9AE}" pid="5" name="MediaServiceImageTags">
    <vt:lpwstr/>
  </property>
  <property fmtid="{D5CDD505-2E9C-101B-9397-08002B2CF9AE}" pid="6" name="iManageFooter">
    <vt:lpwstr>#5746867v1</vt:lpwstr>
  </property>
</Properties>
</file>